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color w:val="990033"/>
          <w:sz w:val="51"/>
          <w:szCs w:val="51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990033"/>
          <w:sz w:val="51"/>
          <w:szCs w:val="51"/>
        </w:rPr>
        <w:t xml:space="preserve">UA Staff Health Care Committee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color w:val="990033"/>
          <w:sz w:val="51"/>
          <w:szCs w:val="51"/>
        </w:rPr>
      </w:pPr>
      <w:r>
        <w:rPr>
          <w:rFonts w:ascii="Garamond" w:eastAsia="Garamond" w:hAnsi="Garamond" w:cs="Garamond"/>
          <w:b/>
          <w:color w:val="990033"/>
          <w:sz w:val="51"/>
          <w:szCs w:val="51"/>
        </w:rPr>
        <w:t xml:space="preserve">Purpose and Membership Criteria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1.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History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1078" w:right="189" w:hanging="35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The Staff Health Care Committee (SHCC) was established in FY08. The SHCC was created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to  give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non-represented staff a voice in decision-making regarding the University of Alaska health  care plan. Approximately 67% of benefits eligible employees are non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-represented staff.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057" w:right="96" w:hanging="33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The Joint Health Care Committee (JHCC) is the other primary health care advisory body.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  JHCC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is comprised of union and management representatives. In 2008, Statewide HR (SW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HR)  allocated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one management voting seat to a non-represented staff represe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ntative. In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2011,  collective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bargaining resulted in a second voting seat for non-represented staff. An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additional  non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-represented staff member serves as an alternate on the JHCC; this alternate only votes if a  voting member cannot.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77" w:right="14" w:hanging="35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c. Beyond the increa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sed engagement of all non-represented staff, the creation of the SHCC and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  designation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of seats on the JHCC were intended to increase the involvement of staff governance  in health care decisions. To properly serve its function, the SHCC must have a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z w:val="24"/>
          <w:szCs w:val="24"/>
        </w:rPr>
        <w:t>rong  connection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to staff governance with regular communication.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2.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Purpose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80" w:right="48" w:hanging="35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The Staff Health Care Committee engages non-represented staff in decisions regarding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their  health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care benefits. In addition to serving as an advisory body to SW HR and the Staff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Alliance,  the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committee also advises the JHCC non-represented staff memb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ers to inform their votes on  that body.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3.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Activities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In support of the SHCC’s advisory role, the committee: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797" w:right="61" w:hanging="287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Becomes well acquainted with the health care plan, including how expenses and revenues impact total plan costs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801" w:right="255" w:hanging="34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ii. Hears regular updates on the health care plan, including usage trends and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comparisons  between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projections and actual costs 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801" w:right="198" w:hanging="40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iii. Requests further information regarding the health care plan, including approaches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used  by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other institutions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397" w:right="921" w:hanging="5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iv. Evaluates proposals (e.g. plan design changes, wellness program enhancements) v. Consults with staff governance groups (Staff Alliance, MAU staff councils)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and  constituents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(all non-represented staff) regarding proposals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vi. Reports final recommendat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ions to the Staff Alliance regarding proposals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vii. Makes final recommendations to the UA administration regarding proposals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285" w:right="63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viii. Makes recommendations to the non-represented staff members (voting and alternate)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of  the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JHCC to support their representation in that committee’s discussions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81" w:right="685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Statewide Human Resources has the primary authority of communicating with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employees  re</w:t>
      </w:r>
      <w:r>
        <w:rPr>
          <w:rFonts w:ascii="Garamond" w:eastAsia="Garamond" w:hAnsi="Garamond" w:cs="Garamond"/>
          <w:color w:val="000000"/>
          <w:sz w:val="24"/>
          <w:szCs w:val="24"/>
        </w:rPr>
        <w:t>garding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health care plan. SHCC members are encouraged to help facilitate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this  communication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wherever possible. Some examples include: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455" w:right="383" w:firstLine="54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 Bringing proposed changes to MAU staff councils and staff constituents for feedback ii. Bringing forward ideas fro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 campuses to the SHCC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800" w:right="1012" w:hanging="40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iii. Assisting in promoting benefits forums and opportunities for information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and  participation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on campuses 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9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iv. Assisting in the dissemination of information about the health care plan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816" w:right="398" w:hanging="36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v. Directing questions from staff regarding the health care plan to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>
        <w:rPr>
          <w:rFonts w:ascii="Garamond" w:eastAsia="Garamond" w:hAnsi="Garamond" w:cs="Garamond"/>
          <w:sz w:val="24"/>
          <w:szCs w:val="24"/>
        </w:rPr>
        <w:t xml:space="preserve"> UA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HR Office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4.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Principles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74" w:right="156" w:hanging="34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The SHCC takes seriously the responsibility to protect the best interests of the thousands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of  staff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we represent. The committee is careful to consider the overall effect of proposed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changes,  when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multiple changes may compound in a given year.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81" w:right="19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The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SHCC aims to approach discussions with open minds. Where possible, we seek to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identify  reasonable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compromises that we can stand behind.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83" w:right="206" w:hanging="35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c. The SHCC aims to support continued options for the staff we represent. For example, in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2011  the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SHCC supported a pharmacy co-pay increase, but did not support excluding drug classes  that had previously been covered by the plan.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77" w:right="254" w:hanging="35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d. The SHCC values the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relationship between the doctor and patient, who should be the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primary  individuals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making health care decisions. Employees should be empowered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through  communication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to have informed discussions with their practitioners regarding treatment  options.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80" w:right="421" w:hanging="35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e. The SHCC represents staff at every campus within the University of Alaska System.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Each  proposal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being considered should take staff at rural sites into account, to ensure they are not  unfairly disadvantaged.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1083" w:right="46" w:hanging="35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f. The SHCC supports incentives over penalties wherever possible, particularly where the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potential  for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penalties may create a disincentive to participate. For example, employees may be less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likely  to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use </w:t>
      </w:r>
      <w:r>
        <w:rPr>
          <w:rFonts w:ascii="Garamond" w:eastAsia="Garamond" w:hAnsi="Garamond" w:cs="Garamond"/>
          <w:sz w:val="24"/>
          <w:szCs w:val="24"/>
        </w:rPr>
        <w:t>an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ndividual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ealth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lanning program if there was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 potential penalty for being unable  to complete the program.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085" w:right="73" w:hanging="36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g. The SHCC places great importance on data, and is unlikely to support a recommendation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where  data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do not exist to support it.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5.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Membership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77" w:right="100" w:hanging="35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Each MAU will have two voting members on the SHCC. Authority to designate these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members  is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delegated to the president of each MAU’s staff council. </w:t>
      </w:r>
    </w:p>
    <w:tbl>
      <w:tblPr>
        <w:tblStyle w:val="a"/>
        <w:tblW w:w="5340" w:type="dxa"/>
        <w:tblInd w:w="2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1938"/>
      </w:tblGrid>
      <w:tr w:rsidR="00361F09">
        <w:trPr>
          <w:trHeight w:val="257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Garamond" w:eastAsia="Garamond" w:hAnsi="Garamond" w:cs="Garamond"/>
                <w:b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1"/>
                <w:szCs w:val="21"/>
              </w:rPr>
              <w:t xml:space="preserve">Staff Council 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Garamond" w:eastAsia="Garamond" w:hAnsi="Garamond" w:cs="Garamond"/>
                <w:b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1"/>
                <w:szCs w:val="21"/>
              </w:rPr>
              <w:t>Voting Members</w:t>
            </w:r>
          </w:p>
        </w:tc>
      </w:tr>
      <w:tr w:rsidR="00361F09">
        <w:trPr>
          <w:trHeight w:val="256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System Office Staff Council</w:t>
            </w: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2</w:t>
            </w:r>
          </w:p>
        </w:tc>
      </w:tr>
      <w:tr w:rsidR="00361F09">
        <w:trPr>
          <w:trHeight w:val="258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Garamond" w:eastAsia="Garamond" w:hAnsi="Garamond" w:cs="Garamond"/>
                <w:i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 xml:space="preserve">UAA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Staff Council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2</w:t>
            </w:r>
          </w:p>
        </w:tc>
      </w:tr>
      <w:tr w:rsidR="00361F09">
        <w:trPr>
          <w:trHeight w:val="258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 xml:space="preserve">UAF Staff Council 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2</w:t>
            </w:r>
          </w:p>
        </w:tc>
      </w:tr>
      <w:tr w:rsidR="00361F09">
        <w:trPr>
          <w:trHeight w:val="258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 xml:space="preserve">UAS Staff Council 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09" w:rsidRDefault="00770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2</w:t>
            </w:r>
          </w:p>
        </w:tc>
      </w:tr>
    </w:tbl>
    <w:p w:rsidR="00361F09" w:rsidRDefault="00361F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1F09" w:rsidRDefault="00361F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4"/>
        <w:rPr>
          <w:rFonts w:ascii="Garamond" w:eastAsia="Garamond" w:hAnsi="Garamond" w:cs="Garamond"/>
          <w:i/>
          <w:sz w:val="18"/>
          <w:szCs w:val="18"/>
        </w:rPr>
      </w:pPr>
      <w:r>
        <w:rPr>
          <w:rFonts w:ascii="Garamond" w:eastAsia="Garamond" w:hAnsi="Garamond" w:cs="Garamond"/>
          <w:i/>
          <w:color w:val="000000"/>
          <w:sz w:val="18"/>
          <w:szCs w:val="18"/>
        </w:rPr>
        <w:t>*Since UAA has two staff councils, the total voting members are shared between the councils.</w:t>
      </w:r>
    </w:p>
    <w:p w:rsidR="00361F09" w:rsidRDefault="00361F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4"/>
        <w:rPr>
          <w:rFonts w:ascii="Garamond" w:eastAsia="Garamond" w:hAnsi="Garamond" w:cs="Garamond"/>
          <w:i/>
          <w:sz w:val="18"/>
          <w:szCs w:val="18"/>
        </w:rPr>
      </w:pP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Membership Criteria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799" w:right="331" w:hanging="289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At least one voting member from each MAU should also be a member of a local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staff  governance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council. The other voting member is not required to be a member of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 xml:space="preserve">a  </w:t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governance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group.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806" w:right="63" w:hanging="35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ii. A minimum of two SHCC members must also serve on the Staff Allianc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e. Each MAU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is  encouraged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to have a Staff Alliance member on the SHCC.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c. Joint Health Care Committee Members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801" w:right="315" w:hanging="292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To facilitate communication between the SHCC and the JHCC, non-represented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staff  members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serving on the JHCC also serve on the SHCC.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397" w:right="32" w:firstLine="5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ii. JHCC voting representatives also have full rights as voting members on the SHCC.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397" w:right="32" w:firstLine="5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iii. The JHCC alternate will only have SHCC voting rights if he or she (a) represents his/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her  MAU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as a voting member, or (b) is voting on behalf of an absent JHCC voting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member. 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397" w:right="32" w:firstLine="5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iv. It is up to the discretion of the MAU staff council president whether the JHCC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member  counts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as one of their MAU’s two voting members on the SHCC. 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d. Alternates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455" w:right="220" w:firstLine="54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Each MAU may have up to two alternates. Providing the voting member criteria have already been met, the alternates are not required to be members of a governance group.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455" w:right="220" w:firstLine="5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ii. In the event a voting member is unable to attend a meeting, an alternate from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  member’s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MAU may vote in their place.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796" w:right="76" w:hanging="3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iii. Alternates are encouraged to attend every meeting to be well-informed in the event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their  vote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is necessary.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e. The </w:t>
      </w:r>
      <w:r>
        <w:rPr>
          <w:rFonts w:ascii="Garamond" w:eastAsia="Garamond" w:hAnsi="Garamond" w:cs="Garamond"/>
          <w:sz w:val="24"/>
          <w:szCs w:val="24"/>
        </w:rPr>
        <w:t>UA HR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Benefits Office has one non-voting ex-officio seat on the SHCC.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3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6.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Membership Responsibilities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8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Each member of the SHCC is expected to regularly attend meetings, and to report on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committee  activities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to their respective staff councils, and to the staff on their campuses.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1081" w:right="6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The SHCC chair is expected to report to the Staff Alliance on the committee’s activities.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This  should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include a written report, and a verbal report at the Staff Alliance monthly meeting. In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  event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SHCC chair is not an Alliance member, the chair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may be excused from the Alliance  meeting following his or her report.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084" w:right="284" w:hanging="35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c. The SHCC chair is responsible for setting the agenda, in partnership with the JHCC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members  and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Statewide Benefits representative.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7.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Decision Making Criteria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86" w:right="19"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A quorum is defined as a simple majority of the voting members, with at least one member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from  each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MAU.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24" w:lineRule="auto"/>
        <w:ind w:left="1081" w:right="191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Decisions shall be approved or denied by a simple majority of the voting members present.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An  alternate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filling in for an absent voting member w</w:t>
      </w:r>
      <w:r>
        <w:rPr>
          <w:rFonts w:ascii="Garamond" w:eastAsia="Garamond" w:hAnsi="Garamond" w:cs="Garamond"/>
          <w:color w:val="000000"/>
          <w:sz w:val="24"/>
          <w:szCs w:val="24"/>
        </w:rPr>
        <w:t>ill be considered a voting member for that  meeting.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24" w:lineRule="auto"/>
        <w:ind w:left="1081" w:right="346" w:hanging="35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c. For recommendations that appear unanimous, the committee may be asked whether a vote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is  necessary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A recommendation may be adopted by consensus if no vote is requested by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any  member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d. The chair will only vote in the event of a tie.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8.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Terms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85" w:right="24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a. For JHCC members, terms on the Staff Health Care Committee are determined by their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terms  on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JHCC.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83" w:right="206" w:hanging="36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b. For all other members, terms are at the discretion of the MAU Staff Council President. Due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to  the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complexity of the subject matter, terms of at least one academic year are strongly  encouraged.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726" w:right="478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c. To aid in transition, departing members are encouraged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to overlap in attendance with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newly  appointed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members from their MAU for at least 1-2 meetings whenever possible.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9.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Meeting Schedule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083" w:right="233" w:hanging="35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a. The Staff Health Care Committee</w:t>
      </w:r>
      <w:r>
        <w:rPr>
          <w:rFonts w:ascii="Garamond" w:eastAsia="Garamond" w:hAnsi="Garamond" w:cs="Garamond"/>
          <w:sz w:val="24"/>
          <w:szCs w:val="24"/>
        </w:rPr>
        <w:t xml:space="preserve"> will determine its meeting schedule at the beginning of each fiscal </w:t>
      </w:r>
      <w:proofErr w:type="gramStart"/>
      <w:r>
        <w:rPr>
          <w:rFonts w:ascii="Garamond" w:eastAsia="Garamond" w:hAnsi="Garamond" w:cs="Garamond"/>
          <w:sz w:val="24"/>
          <w:szCs w:val="24"/>
        </w:rPr>
        <w:t>year.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4" w:lineRule="auto"/>
        <w:ind w:left="1075" w:right="370" w:hanging="35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b. The committee meets by audio conference. Wherever possible, meetings are also available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by  video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conference to designated sites. </w:t>
      </w:r>
    </w:p>
    <w:p w:rsidR="00361F09" w:rsidRDefault="007702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5" w:line="240" w:lineRule="auto"/>
        <w:ind w:right="81"/>
        <w:jc w:val="right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Approved by the Staff Alliance, effective </w:t>
      </w:r>
      <w:r>
        <w:rPr>
          <w:rFonts w:ascii="Garamond" w:eastAsia="Garamond" w:hAnsi="Garamond" w:cs="Garamond"/>
          <w:sz w:val="24"/>
          <w:szCs w:val="24"/>
        </w:rPr>
        <w:t>11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19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</w:p>
    <w:sectPr w:rsidR="00361F0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368" w:right="1025" w:bottom="762" w:left="108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6D" w:rsidRDefault="0077026D">
      <w:pPr>
        <w:spacing w:line="240" w:lineRule="auto"/>
      </w:pPr>
      <w:r>
        <w:separator/>
      </w:r>
    </w:p>
  </w:endnote>
  <w:endnote w:type="continuationSeparator" w:id="0">
    <w:p w:rsidR="0077026D" w:rsidRDefault="00770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09" w:rsidRDefault="0077026D">
    <w:pPr>
      <w:jc w:val="right"/>
    </w:pPr>
    <w:r>
      <w:fldChar w:fldCharType="begin"/>
    </w:r>
    <w:r>
      <w:instrText>PAGE</w:instrText>
    </w:r>
    <w:r w:rsidR="00201826">
      <w:fldChar w:fldCharType="separate"/>
    </w:r>
    <w:r w:rsidR="0020182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09" w:rsidRDefault="00361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6D" w:rsidRDefault="0077026D">
      <w:pPr>
        <w:spacing w:line="240" w:lineRule="auto"/>
      </w:pPr>
      <w:r>
        <w:separator/>
      </w:r>
    </w:p>
  </w:footnote>
  <w:footnote w:type="continuationSeparator" w:id="0">
    <w:p w:rsidR="0077026D" w:rsidRDefault="00770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09" w:rsidRDefault="00361F09">
    <w:pPr>
      <w:widowControl w:val="0"/>
      <w:spacing w:before="738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09" w:rsidRDefault="00361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09"/>
    <w:rsid w:val="00201826"/>
    <w:rsid w:val="00361F09"/>
    <w:rsid w:val="007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790E5-B34F-4937-9C7F-3C19260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Romanovsky</dc:creator>
  <cp:lastModifiedBy>Noel Romanovsky</cp:lastModifiedBy>
  <cp:revision>2</cp:revision>
  <dcterms:created xsi:type="dcterms:W3CDTF">2021-11-22T22:05:00Z</dcterms:created>
  <dcterms:modified xsi:type="dcterms:W3CDTF">2021-11-22T22:05:00Z</dcterms:modified>
</cp:coreProperties>
</file>