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BEB" w:rsidRDefault="00BD1BEB">
      <w:bookmarkStart w:id="0" w:name="_GoBack"/>
      <w:bookmarkEnd w:id="0"/>
    </w:p>
    <w:p w:rsidR="00294EF8" w:rsidRPr="00BA640D" w:rsidRDefault="00294EF8">
      <w:pPr>
        <w:rPr>
          <w:b/>
        </w:rPr>
      </w:pPr>
      <w:r w:rsidRPr="00BA640D">
        <w:rPr>
          <w:b/>
        </w:rPr>
        <w:t>Acronyms commonly used in reporting Labor Relations activities:</w:t>
      </w:r>
    </w:p>
    <w:p w:rsidR="00294EF8" w:rsidRPr="00BA640D" w:rsidRDefault="00294EF8">
      <w:pPr>
        <w:rPr>
          <w:b/>
        </w:rPr>
      </w:pPr>
    </w:p>
    <w:tbl>
      <w:tblPr>
        <w:tblW w:w="0" w:type="auto"/>
        <w:tblLook w:val="01E0" w:firstRow="1" w:lastRow="1" w:firstColumn="1" w:lastColumn="1" w:noHBand="0" w:noVBand="0"/>
      </w:tblPr>
      <w:tblGrid>
        <w:gridCol w:w="2082"/>
        <w:gridCol w:w="6774"/>
      </w:tblGrid>
      <w:tr w:rsidR="00294EF8" w:rsidRPr="00BA640D" w:rsidTr="00821854">
        <w:tc>
          <w:tcPr>
            <w:tcW w:w="2148" w:type="dxa"/>
            <w:tcBorders>
              <w:top w:val="single" w:sz="4" w:space="0" w:color="auto"/>
              <w:left w:val="single" w:sz="4" w:space="0" w:color="auto"/>
            </w:tcBorders>
          </w:tcPr>
          <w:p w:rsidR="00294EF8" w:rsidRPr="00BA640D" w:rsidRDefault="00294EF8" w:rsidP="00821854">
            <w:pPr>
              <w:pStyle w:val="Header"/>
              <w:ind w:right="720"/>
              <w:rPr>
                <w:b/>
              </w:rPr>
            </w:pPr>
            <w:r w:rsidRPr="00BA640D">
              <w:rPr>
                <w:b/>
              </w:rPr>
              <w:t>UAFT</w:t>
            </w:r>
          </w:p>
          <w:p w:rsidR="00294EF8" w:rsidRPr="00BA640D" w:rsidRDefault="00294EF8" w:rsidP="00821854">
            <w:pPr>
              <w:pStyle w:val="Header"/>
              <w:ind w:right="720"/>
              <w:rPr>
                <w:b/>
              </w:rPr>
            </w:pPr>
          </w:p>
        </w:tc>
        <w:tc>
          <w:tcPr>
            <w:tcW w:w="7428" w:type="dxa"/>
            <w:tcBorders>
              <w:top w:val="single" w:sz="4" w:space="0" w:color="auto"/>
              <w:left w:val="nil"/>
              <w:right w:val="single" w:sz="4" w:space="0" w:color="auto"/>
            </w:tcBorders>
          </w:tcPr>
          <w:p w:rsidR="00294EF8" w:rsidRPr="00BA640D" w:rsidRDefault="00294EF8" w:rsidP="00821854">
            <w:pPr>
              <w:pStyle w:val="Header"/>
              <w:ind w:right="720"/>
              <w:rPr>
                <w:b/>
              </w:rPr>
            </w:pPr>
            <w:smartTag w:uri="urn:schemas-microsoft-com:office:smarttags" w:element="place">
              <w:smartTag w:uri="urn:schemas-microsoft-com:office:smarttags" w:element="PlaceType">
                <w:smartTag w:uri="urn:schemas-microsoft-com:office:smarttags" w:element="PlaceType">
                  <w:r w:rsidRPr="00BA640D">
                    <w:rPr>
                      <w:b/>
                    </w:rPr>
                    <w:t>University</w:t>
                  </w:r>
                </w:smartTag>
                <w:r w:rsidRPr="00BA640D">
                  <w:rPr>
                    <w:b/>
                  </w:rPr>
                  <w:t xml:space="preserve"> of </w:t>
                </w:r>
                <w:smartTag w:uri="urn:schemas-microsoft-com:office:smarttags" w:element="PlaceName">
                  <w:r w:rsidRPr="00BA640D">
                    <w:rPr>
                      <w:b/>
                    </w:rPr>
                    <w:t>Alaska Federation</w:t>
                  </w:r>
                </w:smartTag>
              </w:smartTag>
            </w:smartTag>
            <w:r w:rsidRPr="00BA640D">
              <w:rPr>
                <w:b/>
              </w:rPr>
              <w:t xml:space="preserve"> of Teachers </w:t>
            </w:r>
          </w:p>
        </w:tc>
      </w:tr>
      <w:tr w:rsidR="00294EF8" w:rsidRPr="00BA640D" w:rsidTr="00821854">
        <w:tc>
          <w:tcPr>
            <w:tcW w:w="2148" w:type="dxa"/>
            <w:tcBorders>
              <w:left w:val="single" w:sz="4" w:space="0" w:color="auto"/>
            </w:tcBorders>
          </w:tcPr>
          <w:p w:rsidR="00294EF8" w:rsidRPr="00BA640D" w:rsidRDefault="00294EF8" w:rsidP="00821854">
            <w:pPr>
              <w:pStyle w:val="Header"/>
              <w:ind w:right="720"/>
              <w:jc w:val="both"/>
              <w:rPr>
                <w:b/>
              </w:rPr>
            </w:pPr>
            <w:r w:rsidRPr="00BA640D">
              <w:rPr>
                <w:b/>
              </w:rPr>
              <w:t>CBA</w:t>
            </w:r>
          </w:p>
        </w:tc>
        <w:tc>
          <w:tcPr>
            <w:tcW w:w="7428" w:type="dxa"/>
            <w:tcBorders>
              <w:right w:val="single" w:sz="4" w:space="0" w:color="auto"/>
            </w:tcBorders>
          </w:tcPr>
          <w:p w:rsidR="00294EF8" w:rsidRPr="00BA640D" w:rsidRDefault="00294EF8" w:rsidP="00821854">
            <w:pPr>
              <w:pStyle w:val="Header"/>
              <w:ind w:right="720"/>
              <w:rPr>
                <w:b/>
              </w:rPr>
            </w:pPr>
            <w:r w:rsidRPr="00BA640D">
              <w:rPr>
                <w:b/>
              </w:rPr>
              <w:t>Collective Bargaining Agreement</w:t>
            </w:r>
          </w:p>
          <w:p w:rsidR="00294EF8" w:rsidRPr="00BA640D" w:rsidRDefault="00294EF8" w:rsidP="00821854">
            <w:pPr>
              <w:pStyle w:val="Header"/>
              <w:ind w:right="720"/>
              <w:rPr>
                <w:b/>
              </w:rPr>
            </w:pPr>
          </w:p>
        </w:tc>
      </w:tr>
      <w:tr w:rsidR="00294EF8" w:rsidRPr="00BA640D" w:rsidTr="00821854">
        <w:tc>
          <w:tcPr>
            <w:tcW w:w="2148" w:type="dxa"/>
            <w:tcBorders>
              <w:left w:val="single" w:sz="4" w:space="0" w:color="auto"/>
            </w:tcBorders>
          </w:tcPr>
          <w:p w:rsidR="00294EF8" w:rsidRPr="00BA640D" w:rsidRDefault="00294EF8" w:rsidP="00821854">
            <w:pPr>
              <w:pStyle w:val="Header"/>
              <w:ind w:right="720"/>
              <w:jc w:val="both"/>
              <w:rPr>
                <w:b/>
              </w:rPr>
            </w:pPr>
            <w:r w:rsidRPr="00BA640D">
              <w:rPr>
                <w:b/>
              </w:rPr>
              <w:t>LMC</w:t>
            </w:r>
          </w:p>
        </w:tc>
        <w:tc>
          <w:tcPr>
            <w:tcW w:w="7428" w:type="dxa"/>
            <w:tcBorders>
              <w:right w:val="single" w:sz="4" w:space="0" w:color="auto"/>
            </w:tcBorders>
          </w:tcPr>
          <w:p w:rsidR="00294EF8" w:rsidRPr="00BA640D" w:rsidRDefault="00294EF8" w:rsidP="00821854">
            <w:pPr>
              <w:pStyle w:val="Header"/>
              <w:ind w:right="720"/>
              <w:rPr>
                <w:b/>
              </w:rPr>
            </w:pPr>
            <w:r w:rsidRPr="00BA640D">
              <w:rPr>
                <w:b/>
              </w:rPr>
              <w:t>Labor-Management Committee</w:t>
            </w:r>
          </w:p>
          <w:p w:rsidR="00294EF8" w:rsidRPr="00BA640D" w:rsidRDefault="00294EF8" w:rsidP="00821854">
            <w:pPr>
              <w:pStyle w:val="Header"/>
              <w:ind w:right="720"/>
              <w:jc w:val="both"/>
              <w:rPr>
                <w:b/>
              </w:rPr>
            </w:pPr>
          </w:p>
        </w:tc>
      </w:tr>
      <w:tr w:rsidR="00294EF8" w:rsidRPr="00BA640D" w:rsidTr="00821854">
        <w:tc>
          <w:tcPr>
            <w:tcW w:w="2148" w:type="dxa"/>
            <w:tcBorders>
              <w:left w:val="single" w:sz="4" w:space="0" w:color="auto"/>
            </w:tcBorders>
          </w:tcPr>
          <w:p w:rsidR="00294EF8" w:rsidRPr="00BA640D" w:rsidRDefault="00294EF8" w:rsidP="00821854">
            <w:pPr>
              <w:pStyle w:val="Header"/>
              <w:ind w:right="720"/>
              <w:jc w:val="both"/>
              <w:rPr>
                <w:b/>
              </w:rPr>
            </w:pPr>
            <w:r w:rsidRPr="00BA640D">
              <w:rPr>
                <w:b/>
              </w:rPr>
              <w:t>Local 6070</w:t>
            </w:r>
          </w:p>
        </w:tc>
        <w:tc>
          <w:tcPr>
            <w:tcW w:w="7428" w:type="dxa"/>
            <w:tcBorders>
              <w:right w:val="single" w:sz="4" w:space="0" w:color="auto"/>
            </w:tcBorders>
          </w:tcPr>
          <w:p w:rsidR="00294EF8" w:rsidRPr="00BA640D" w:rsidRDefault="00294EF8" w:rsidP="00821854">
            <w:pPr>
              <w:pStyle w:val="Header"/>
              <w:ind w:right="720"/>
              <w:rPr>
                <w:b/>
              </w:rPr>
            </w:pPr>
            <w:smartTag w:uri="urn:schemas-microsoft-com:office:smarttags" w:element="place">
              <w:smartTag w:uri="urn:schemas-microsoft-com:office:smarttags" w:element="State">
                <w:r w:rsidRPr="00BA640D">
                  <w:rPr>
                    <w:b/>
                  </w:rPr>
                  <w:t>Alaska</w:t>
                </w:r>
              </w:smartTag>
            </w:smartTag>
            <w:r w:rsidRPr="00BA640D">
              <w:rPr>
                <w:b/>
              </w:rPr>
              <w:t xml:space="preserve"> Higher Education Crafts and Trades Employees – Local 6070</w:t>
            </w:r>
          </w:p>
          <w:p w:rsidR="00294EF8" w:rsidRPr="00BA640D" w:rsidRDefault="00294EF8" w:rsidP="00821854">
            <w:pPr>
              <w:pStyle w:val="Header"/>
              <w:ind w:right="720"/>
              <w:rPr>
                <w:b/>
              </w:rPr>
            </w:pPr>
          </w:p>
        </w:tc>
      </w:tr>
      <w:tr w:rsidR="00294EF8" w:rsidRPr="00BA640D" w:rsidTr="00821854">
        <w:tc>
          <w:tcPr>
            <w:tcW w:w="2148" w:type="dxa"/>
            <w:tcBorders>
              <w:left w:val="single" w:sz="4" w:space="0" w:color="auto"/>
            </w:tcBorders>
          </w:tcPr>
          <w:p w:rsidR="00294EF8" w:rsidRPr="00BA640D" w:rsidRDefault="00294EF8" w:rsidP="00821854">
            <w:pPr>
              <w:pStyle w:val="Header"/>
              <w:ind w:right="720"/>
              <w:jc w:val="both"/>
              <w:rPr>
                <w:b/>
              </w:rPr>
            </w:pPr>
            <w:r w:rsidRPr="00BA640D">
              <w:rPr>
                <w:b/>
              </w:rPr>
              <w:t>MAU</w:t>
            </w:r>
          </w:p>
        </w:tc>
        <w:tc>
          <w:tcPr>
            <w:tcW w:w="7428" w:type="dxa"/>
            <w:tcBorders>
              <w:right w:val="single" w:sz="4" w:space="0" w:color="auto"/>
            </w:tcBorders>
          </w:tcPr>
          <w:p w:rsidR="00294EF8" w:rsidRPr="00BA640D" w:rsidRDefault="00294EF8" w:rsidP="00821854">
            <w:pPr>
              <w:pStyle w:val="Header"/>
              <w:ind w:right="720"/>
              <w:rPr>
                <w:b/>
              </w:rPr>
            </w:pPr>
            <w:r w:rsidRPr="00BA640D">
              <w:rPr>
                <w:b/>
              </w:rPr>
              <w:t>Major Academic Unit (UAA, UAF, UAS)</w:t>
            </w:r>
          </w:p>
          <w:p w:rsidR="00294EF8" w:rsidRPr="00BA640D" w:rsidRDefault="00294EF8" w:rsidP="00821854">
            <w:pPr>
              <w:pStyle w:val="Header"/>
              <w:ind w:right="720"/>
              <w:jc w:val="both"/>
              <w:rPr>
                <w:b/>
              </w:rPr>
            </w:pPr>
          </w:p>
        </w:tc>
      </w:tr>
      <w:tr w:rsidR="00294EF8" w:rsidRPr="00BA640D" w:rsidTr="00821854">
        <w:tc>
          <w:tcPr>
            <w:tcW w:w="2148" w:type="dxa"/>
            <w:tcBorders>
              <w:left w:val="single" w:sz="4" w:space="0" w:color="auto"/>
            </w:tcBorders>
          </w:tcPr>
          <w:p w:rsidR="00294EF8" w:rsidRPr="00BA640D" w:rsidRDefault="00294EF8" w:rsidP="00821854">
            <w:pPr>
              <w:pStyle w:val="Header"/>
              <w:ind w:right="720"/>
              <w:jc w:val="both"/>
              <w:rPr>
                <w:b/>
              </w:rPr>
            </w:pPr>
            <w:r w:rsidRPr="00BA640D">
              <w:rPr>
                <w:b/>
              </w:rPr>
              <w:t>JHCC</w:t>
            </w:r>
          </w:p>
        </w:tc>
        <w:tc>
          <w:tcPr>
            <w:tcW w:w="7428" w:type="dxa"/>
            <w:tcBorders>
              <w:right w:val="single" w:sz="4" w:space="0" w:color="auto"/>
            </w:tcBorders>
          </w:tcPr>
          <w:p w:rsidR="00294EF8" w:rsidRPr="00BA640D" w:rsidRDefault="00294EF8" w:rsidP="00821854">
            <w:pPr>
              <w:pStyle w:val="Header"/>
              <w:ind w:right="720"/>
              <w:rPr>
                <w:b/>
              </w:rPr>
            </w:pPr>
            <w:r w:rsidRPr="00BA640D">
              <w:rPr>
                <w:b/>
              </w:rPr>
              <w:t>Joint Health Care Committee</w:t>
            </w:r>
          </w:p>
          <w:p w:rsidR="00294EF8" w:rsidRPr="00BA640D" w:rsidRDefault="00294EF8" w:rsidP="00821854">
            <w:pPr>
              <w:pStyle w:val="Header"/>
              <w:ind w:right="720"/>
              <w:jc w:val="both"/>
              <w:rPr>
                <w:b/>
              </w:rPr>
            </w:pPr>
          </w:p>
        </w:tc>
      </w:tr>
      <w:tr w:rsidR="00294EF8" w:rsidRPr="00BA640D" w:rsidTr="00821854">
        <w:tc>
          <w:tcPr>
            <w:tcW w:w="2148" w:type="dxa"/>
            <w:tcBorders>
              <w:left w:val="single" w:sz="4" w:space="0" w:color="auto"/>
            </w:tcBorders>
          </w:tcPr>
          <w:p w:rsidR="00294EF8" w:rsidRPr="00BA640D" w:rsidRDefault="00294EF8" w:rsidP="00821854">
            <w:pPr>
              <w:pStyle w:val="Header"/>
              <w:ind w:right="720"/>
              <w:jc w:val="both"/>
              <w:rPr>
                <w:b/>
              </w:rPr>
            </w:pPr>
            <w:r w:rsidRPr="00BA640D">
              <w:rPr>
                <w:b/>
              </w:rPr>
              <w:t>UNAC</w:t>
            </w:r>
          </w:p>
          <w:p w:rsidR="00294EF8" w:rsidRPr="00BA640D" w:rsidRDefault="00294EF8" w:rsidP="00821854">
            <w:pPr>
              <w:pStyle w:val="Header"/>
              <w:ind w:right="720"/>
              <w:jc w:val="both"/>
              <w:rPr>
                <w:b/>
              </w:rPr>
            </w:pPr>
          </w:p>
          <w:p w:rsidR="00294EF8" w:rsidRPr="00BA640D" w:rsidRDefault="00294EF8" w:rsidP="00821854">
            <w:pPr>
              <w:pStyle w:val="Header"/>
              <w:ind w:right="720"/>
              <w:jc w:val="both"/>
              <w:rPr>
                <w:b/>
              </w:rPr>
            </w:pPr>
            <w:r w:rsidRPr="00BA640D">
              <w:rPr>
                <w:b/>
              </w:rPr>
              <w:t>ALRA</w:t>
            </w:r>
          </w:p>
        </w:tc>
        <w:tc>
          <w:tcPr>
            <w:tcW w:w="7428" w:type="dxa"/>
            <w:tcBorders>
              <w:right w:val="single" w:sz="4" w:space="0" w:color="auto"/>
            </w:tcBorders>
          </w:tcPr>
          <w:p w:rsidR="00294EF8" w:rsidRPr="00BA640D" w:rsidRDefault="00294EF8" w:rsidP="00821854">
            <w:pPr>
              <w:pStyle w:val="Header"/>
              <w:ind w:right="720"/>
              <w:rPr>
                <w:b/>
              </w:rPr>
            </w:pPr>
            <w:r w:rsidRPr="00BA640D">
              <w:rPr>
                <w:b/>
              </w:rPr>
              <w:t>United Academics</w:t>
            </w:r>
          </w:p>
          <w:p w:rsidR="00294EF8" w:rsidRPr="00BA640D" w:rsidRDefault="00294EF8" w:rsidP="00821854">
            <w:pPr>
              <w:pStyle w:val="Header"/>
              <w:ind w:right="720"/>
              <w:rPr>
                <w:b/>
              </w:rPr>
            </w:pPr>
          </w:p>
          <w:p w:rsidR="00294EF8" w:rsidRPr="00BA640D" w:rsidRDefault="00294EF8" w:rsidP="00821854">
            <w:pPr>
              <w:pStyle w:val="Header"/>
              <w:ind w:right="720"/>
              <w:jc w:val="both"/>
              <w:rPr>
                <w:b/>
              </w:rPr>
            </w:pPr>
            <w:r w:rsidRPr="00BA640D">
              <w:rPr>
                <w:b/>
              </w:rPr>
              <w:t>Alaska Labor Relations Agency</w:t>
            </w:r>
          </w:p>
          <w:p w:rsidR="00294EF8" w:rsidRPr="00BA640D" w:rsidRDefault="00294EF8" w:rsidP="00821854">
            <w:pPr>
              <w:pStyle w:val="Header"/>
              <w:ind w:right="720"/>
              <w:jc w:val="both"/>
              <w:rPr>
                <w:b/>
              </w:rPr>
            </w:pPr>
          </w:p>
        </w:tc>
      </w:tr>
      <w:tr w:rsidR="00294EF8" w:rsidRPr="00BA640D" w:rsidTr="00821854">
        <w:tc>
          <w:tcPr>
            <w:tcW w:w="2148" w:type="dxa"/>
            <w:tcBorders>
              <w:left w:val="single" w:sz="4" w:space="0" w:color="auto"/>
              <w:bottom w:val="single" w:sz="4" w:space="0" w:color="auto"/>
            </w:tcBorders>
          </w:tcPr>
          <w:p w:rsidR="00294EF8" w:rsidRPr="00BA640D" w:rsidRDefault="00294EF8" w:rsidP="00821854">
            <w:pPr>
              <w:pStyle w:val="Header"/>
              <w:ind w:right="720"/>
              <w:jc w:val="both"/>
              <w:rPr>
                <w:b/>
              </w:rPr>
            </w:pPr>
            <w:r w:rsidRPr="00BA640D">
              <w:rPr>
                <w:b/>
              </w:rPr>
              <w:t>ULP</w:t>
            </w:r>
          </w:p>
        </w:tc>
        <w:tc>
          <w:tcPr>
            <w:tcW w:w="7428" w:type="dxa"/>
            <w:tcBorders>
              <w:bottom w:val="single" w:sz="4" w:space="0" w:color="auto"/>
              <w:right w:val="single" w:sz="4" w:space="0" w:color="auto"/>
            </w:tcBorders>
          </w:tcPr>
          <w:p w:rsidR="00294EF8" w:rsidRPr="00BA640D" w:rsidRDefault="00294EF8" w:rsidP="00821854">
            <w:pPr>
              <w:pStyle w:val="Header"/>
              <w:ind w:right="720"/>
              <w:rPr>
                <w:b/>
              </w:rPr>
            </w:pPr>
            <w:r w:rsidRPr="00BA640D">
              <w:rPr>
                <w:b/>
              </w:rPr>
              <w:t>Unfair Labor Practice</w:t>
            </w:r>
            <w:r w:rsidR="00F76053" w:rsidRPr="00BA640D">
              <w:rPr>
                <w:b/>
              </w:rPr>
              <w:t xml:space="preserve"> Charge</w:t>
            </w:r>
          </w:p>
          <w:p w:rsidR="00294EF8" w:rsidRPr="00BA640D" w:rsidRDefault="00294EF8" w:rsidP="00821854">
            <w:pPr>
              <w:pStyle w:val="Header"/>
              <w:ind w:right="720"/>
              <w:rPr>
                <w:b/>
              </w:rPr>
            </w:pPr>
          </w:p>
        </w:tc>
      </w:tr>
    </w:tbl>
    <w:p w:rsidR="00092484" w:rsidRPr="00BA640D" w:rsidRDefault="00092484">
      <w:pPr>
        <w:rPr>
          <w:b/>
        </w:rPr>
      </w:pPr>
    </w:p>
    <w:p w:rsidR="00843C38" w:rsidRPr="00BA640D" w:rsidRDefault="00843C38" w:rsidP="00843C38">
      <w:pPr>
        <w:jc w:val="both"/>
        <w:rPr>
          <w:b/>
        </w:rPr>
      </w:pPr>
      <w:r w:rsidRPr="00BA640D">
        <w:rPr>
          <w:b/>
        </w:rPr>
        <w:t>LABOR - MANAGEMENT COMMITTEES/EVENTS</w:t>
      </w:r>
    </w:p>
    <w:p w:rsidR="00843C38" w:rsidRPr="00BA640D" w:rsidRDefault="00843C38" w:rsidP="00843C38"/>
    <w:p w:rsidR="00843C38" w:rsidRPr="00BA640D" w:rsidRDefault="00843C38" w:rsidP="00843C38">
      <w:pPr>
        <w:numPr>
          <w:ilvl w:val="0"/>
          <w:numId w:val="3"/>
        </w:numPr>
        <w:tabs>
          <w:tab w:val="clear" w:pos="360"/>
        </w:tabs>
        <w:ind w:left="720"/>
        <w:jc w:val="both"/>
      </w:pPr>
      <w:r w:rsidRPr="00BA640D">
        <w:t>The university, Local 6070 and campus representatives have been meeting on an as-needed basis to address issues of interest to the MAUs and identify processes to resolve any concerns.</w:t>
      </w:r>
    </w:p>
    <w:p w:rsidR="00843C38" w:rsidRPr="00BA640D" w:rsidRDefault="00843C38" w:rsidP="00843C38">
      <w:pPr>
        <w:ind w:left="720"/>
        <w:jc w:val="both"/>
      </w:pPr>
    </w:p>
    <w:p w:rsidR="00843C38" w:rsidRDefault="00843C38" w:rsidP="00843C38">
      <w:pPr>
        <w:numPr>
          <w:ilvl w:val="0"/>
          <w:numId w:val="3"/>
        </w:numPr>
        <w:tabs>
          <w:tab w:val="clear" w:pos="360"/>
        </w:tabs>
        <w:ind w:left="720"/>
        <w:jc w:val="both"/>
      </w:pPr>
      <w:r w:rsidRPr="00BA640D">
        <w:t xml:space="preserve">The Joint Health Care Committee (JHCC), comprised of union, management, and non-represented employees, meets monthly to discuss system-wide health care issues.  </w:t>
      </w:r>
      <w:r w:rsidR="008A0402">
        <w:t>C</w:t>
      </w:r>
      <w:r w:rsidRPr="00BA640D">
        <w:t>ommittee</w:t>
      </w:r>
      <w:r w:rsidR="008A0402">
        <w:t xml:space="preserve"> </w:t>
      </w:r>
      <w:r w:rsidR="007A75AA">
        <w:t xml:space="preserve">meetings </w:t>
      </w:r>
      <w:r w:rsidR="008A0402">
        <w:t xml:space="preserve">were </w:t>
      </w:r>
      <w:r w:rsidR="005F7ADC" w:rsidRPr="00BA640D">
        <w:t xml:space="preserve">held on </w:t>
      </w:r>
      <w:r w:rsidR="007A75AA">
        <w:t>March 1, 2</w:t>
      </w:r>
      <w:r w:rsidR="00AF6ED4">
        <w:t>, 13, and 15</w:t>
      </w:r>
      <w:r w:rsidR="008A0402">
        <w:t xml:space="preserve"> 2012</w:t>
      </w:r>
      <w:r w:rsidR="005F7ADC" w:rsidRPr="00BA640D">
        <w:t xml:space="preserve">.  </w:t>
      </w:r>
    </w:p>
    <w:p w:rsidR="008A0402" w:rsidRDefault="008A0402" w:rsidP="00F73DDA">
      <w:pPr>
        <w:pStyle w:val="ListParagraph"/>
      </w:pPr>
    </w:p>
    <w:p w:rsidR="008A0402" w:rsidRDefault="008A0402" w:rsidP="00843C38">
      <w:pPr>
        <w:numPr>
          <w:ilvl w:val="0"/>
          <w:numId w:val="3"/>
        </w:numPr>
        <w:tabs>
          <w:tab w:val="clear" w:pos="360"/>
        </w:tabs>
        <w:ind w:left="720"/>
        <w:jc w:val="both"/>
      </w:pPr>
      <w:r>
        <w:t xml:space="preserve">The university, UAFT and campus representatives convened the first Joint Labor Management Committee (LMC) for Market Salary Adjustments on January 11-12, 2012 in Anchorage. The Committee </w:t>
      </w:r>
      <w:r w:rsidR="00FE04C5">
        <w:t>met</w:t>
      </w:r>
      <w:r w:rsidR="00AF6ED4">
        <w:t xml:space="preserve">, </w:t>
      </w:r>
      <w:r>
        <w:t>review</w:t>
      </w:r>
      <w:r w:rsidR="00FE04C5">
        <w:t>ed</w:t>
      </w:r>
      <w:r w:rsidR="00AF6ED4">
        <w:t xml:space="preserve">, and </w:t>
      </w:r>
      <w:r>
        <w:t>analyze</w:t>
      </w:r>
      <w:r w:rsidR="00FE04C5">
        <w:t>d</w:t>
      </w:r>
      <w:r>
        <w:t xml:space="preserve"> salaries, </w:t>
      </w:r>
      <w:r w:rsidR="00FE04C5">
        <w:t xml:space="preserve">and developed the </w:t>
      </w:r>
      <w:r>
        <w:t xml:space="preserve">procedures for distribution of the FY13 UAFT Market Salary </w:t>
      </w:r>
      <w:r w:rsidR="00F73DDA">
        <w:t>Increases</w:t>
      </w:r>
      <w:r>
        <w:t xml:space="preserve">.  </w:t>
      </w:r>
    </w:p>
    <w:p w:rsidR="0025418B" w:rsidRDefault="0025418B" w:rsidP="00CE0B7A">
      <w:pPr>
        <w:pStyle w:val="ListParagraph"/>
      </w:pPr>
    </w:p>
    <w:p w:rsidR="00FE04C5" w:rsidRPr="00BA640D" w:rsidRDefault="00FE04C5" w:rsidP="00843C38">
      <w:pPr>
        <w:numPr>
          <w:ilvl w:val="0"/>
          <w:numId w:val="3"/>
        </w:numPr>
        <w:tabs>
          <w:tab w:val="clear" w:pos="360"/>
        </w:tabs>
        <w:ind w:left="720"/>
        <w:jc w:val="both"/>
      </w:pPr>
      <w:r>
        <w:t xml:space="preserve">The university, UNAC and campus representatives convened the first Joint Labor Management Committee (LMC) for Market Increases on February 27/28, 2012.  They reviewed and analyzed salaries and developed the necessary guidelines and procedures for distribution of the FY13 UNAC Market Increases.  </w:t>
      </w:r>
    </w:p>
    <w:p w:rsidR="00843C38" w:rsidRPr="00BA640D" w:rsidRDefault="00843C38" w:rsidP="00843C38">
      <w:pPr>
        <w:pStyle w:val="ListParagraph"/>
      </w:pPr>
    </w:p>
    <w:p w:rsidR="00843C38" w:rsidRPr="00BA640D" w:rsidRDefault="00843C38">
      <w:pPr>
        <w:rPr>
          <w:b/>
        </w:rPr>
      </w:pPr>
    </w:p>
    <w:p w:rsidR="00F8114A" w:rsidRPr="00BA640D" w:rsidRDefault="00470FAF" w:rsidP="00470FAF">
      <w:r>
        <w:rPr>
          <w:b/>
        </w:rPr>
        <w:lastRenderedPageBreak/>
        <w:t>G</w:t>
      </w:r>
      <w:r w:rsidR="00F8114A" w:rsidRPr="00BA640D">
        <w:rPr>
          <w:b/>
        </w:rPr>
        <w:t>RIEVANCE</w:t>
      </w:r>
      <w:r w:rsidR="008C2366" w:rsidRPr="00BA640D">
        <w:rPr>
          <w:b/>
        </w:rPr>
        <w:t xml:space="preserve"> and </w:t>
      </w:r>
      <w:r w:rsidR="00F8114A" w:rsidRPr="00BA640D">
        <w:rPr>
          <w:b/>
        </w:rPr>
        <w:t>ARBITRATION HIGHLIGHTS</w:t>
      </w:r>
    </w:p>
    <w:p w:rsidR="00E83355" w:rsidRPr="00BA640D" w:rsidRDefault="00E83355"/>
    <w:p w:rsidR="00F8114A" w:rsidRPr="00BA640D" w:rsidRDefault="00F8114A">
      <w:pPr>
        <w:rPr>
          <w:b/>
          <w:u w:val="single"/>
        </w:rPr>
      </w:pPr>
      <w:r w:rsidRPr="00BA640D">
        <w:rPr>
          <w:b/>
          <w:u w:val="single"/>
        </w:rPr>
        <w:t>University of Alaska Federation of Teachers (UAFT)</w:t>
      </w:r>
    </w:p>
    <w:p w:rsidR="00F76053" w:rsidRPr="00BA640D" w:rsidRDefault="00F76053">
      <w:pPr>
        <w:rPr>
          <w:u w:val="single"/>
        </w:rPr>
      </w:pPr>
    </w:p>
    <w:p w:rsidR="00F32B68" w:rsidRPr="00BA640D" w:rsidRDefault="00B14BAF" w:rsidP="00B01458">
      <w:pPr>
        <w:pStyle w:val="ListParagraph"/>
        <w:numPr>
          <w:ilvl w:val="0"/>
          <w:numId w:val="7"/>
        </w:numPr>
      </w:pPr>
      <w:r w:rsidRPr="007F4CE8">
        <w:rPr>
          <w:b/>
          <w:u w:val="single"/>
        </w:rPr>
        <w:t>UAF College of Rural and Community Development</w:t>
      </w:r>
      <w:r w:rsidR="003D2BAB" w:rsidRPr="00BA640D">
        <w:t>:  The u</w:t>
      </w:r>
      <w:r w:rsidR="00017675" w:rsidRPr="00BA640D">
        <w:t xml:space="preserve">nion filed a Step 2 </w:t>
      </w:r>
      <w:r w:rsidR="00DC15BA" w:rsidRPr="00BA640D">
        <w:t>g</w:t>
      </w:r>
      <w:r w:rsidR="00C3180B" w:rsidRPr="00BA640D">
        <w:t>rievance alleging that the u</w:t>
      </w:r>
      <w:r w:rsidR="00017675" w:rsidRPr="00BA640D">
        <w:t xml:space="preserve">niversity violated Article 9.1 of the CBA by </w:t>
      </w:r>
      <w:r w:rsidR="00494910" w:rsidRPr="00BA640D">
        <w:t xml:space="preserve">placing </w:t>
      </w:r>
      <w:r w:rsidR="00017675" w:rsidRPr="00BA640D">
        <w:t xml:space="preserve">two new faculty members at an extended site </w:t>
      </w:r>
      <w:r w:rsidR="00494910" w:rsidRPr="00BA640D">
        <w:t>into</w:t>
      </w:r>
      <w:r w:rsidR="00017675" w:rsidRPr="00BA640D">
        <w:t xml:space="preserve"> the United Academics bargaining unit</w:t>
      </w:r>
      <w:r w:rsidR="00494910" w:rsidRPr="00BA640D">
        <w:t xml:space="preserve"> rather than</w:t>
      </w:r>
      <w:r w:rsidR="00E83355" w:rsidRPr="00BA640D">
        <w:t xml:space="preserve"> into</w:t>
      </w:r>
      <w:r w:rsidR="00494910" w:rsidRPr="00BA640D">
        <w:t xml:space="preserve"> the UAFT unit</w:t>
      </w:r>
      <w:r w:rsidR="00DC15BA" w:rsidRPr="00BA640D">
        <w:t xml:space="preserve">.  </w:t>
      </w:r>
      <w:r w:rsidR="00C3180B" w:rsidRPr="00BA640D">
        <w:t>The u</w:t>
      </w:r>
      <w:r w:rsidR="009250C5" w:rsidRPr="00BA640D">
        <w:t xml:space="preserve">niversity responded to the </w:t>
      </w:r>
      <w:r w:rsidR="003D2BAB" w:rsidRPr="00BA640D">
        <w:t>u</w:t>
      </w:r>
      <w:r w:rsidR="009250C5" w:rsidRPr="00BA640D">
        <w:t xml:space="preserve">nion on </w:t>
      </w:r>
      <w:r w:rsidR="005B6037" w:rsidRPr="00BA640D">
        <w:t xml:space="preserve">November </w:t>
      </w:r>
      <w:r w:rsidR="009250C5" w:rsidRPr="00BA640D">
        <w:t>11</w:t>
      </w:r>
      <w:r w:rsidR="005B6037" w:rsidRPr="00BA640D">
        <w:t>, 20</w:t>
      </w:r>
      <w:r w:rsidR="009250C5" w:rsidRPr="00BA640D">
        <w:t>09</w:t>
      </w:r>
      <w:r w:rsidR="005B6037" w:rsidRPr="00BA640D">
        <w:t>,</w:t>
      </w:r>
      <w:r w:rsidR="009250C5" w:rsidRPr="00BA640D">
        <w:t xml:space="preserve"> recommending that the </w:t>
      </w:r>
      <w:r w:rsidR="00FB74F6" w:rsidRPr="00BA640D">
        <w:t>substance</w:t>
      </w:r>
      <w:r w:rsidR="009250C5" w:rsidRPr="00BA640D">
        <w:t xml:space="preserve"> of the grievance be reviewed and determined by the ALRA as p</w:t>
      </w:r>
      <w:r w:rsidR="00940BA7" w:rsidRPr="00BA640D">
        <w:t>a</w:t>
      </w:r>
      <w:r w:rsidR="009250C5" w:rsidRPr="00BA640D">
        <w:t>rt of the unit clarification proceeding.</w:t>
      </w:r>
      <w:r w:rsidR="00146193" w:rsidRPr="00BA640D">
        <w:t xml:space="preserve">  The grievance is being held in abeyance pending the outcome of the ALRA </w:t>
      </w:r>
      <w:r w:rsidR="00E83355" w:rsidRPr="00BA640D">
        <w:t>proceeding.</w:t>
      </w:r>
      <w:r w:rsidR="00146193" w:rsidRPr="00BA640D">
        <w:t xml:space="preserve"> </w:t>
      </w:r>
    </w:p>
    <w:p w:rsidR="00F32B68" w:rsidRPr="00BA640D" w:rsidRDefault="00F32B68" w:rsidP="00F32B68">
      <w:pPr>
        <w:pStyle w:val="ListParagraph"/>
      </w:pPr>
    </w:p>
    <w:p w:rsidR="003D2BAB" w:rsidRPr="00BA640D" w:rsidRDefault="00294CB8" w:rsidP="003D2BAB">
      <w:pPr>
        <w:pStyle w:val="ListParagraph"/>
        <w:numPr>
          <w:ilvl w:val="0"/>
          <w:numId w:val="7"/>
        </w:numPr>
      </w:pPr>
      <w:r w:rsidRPr="00BA640D">
        <w:rPr>
          <w:b/>
          <w:u w:val="single"/>
        </w:rPr>
        <w:t>UAF College of Rural and Community Development</w:t>
      </w:r>
      <w:r w:rsidR="00997A6B" w:rsidRPr="00BA640D">
        <w:t>:  Two faculty members filed a Step</w:t>
      </w:r>
      <w:r w:rsidR="00C3180B" w:rsidRPr="00BA640D">
        <w:t xml:space="preserve"> 2 </w:t>
      </w:r>
      <w:r w:rsidR="00841EC1">
        <w:t>g</w:t>
      </w:r>
      <w:r w:rsidR="00C3180B" w:rsidRPr="00BA640D">
        <w:t>rievance alleging that the u</w:t>
      </w:r>
      <w:r w:rsidR="00997A6B" w:rsidRPr="00BA640D">
        <w:t>niversity violated Article 2 of the CBA by stifling their academic freedom and removing creative activity from their annual workload</w:t>
      </w:r>
      <w:r w:rsidR="00E65317" w:rsidRPr="00BA640D">
        <w:t>s</w:t>
      </w:r>
      <w:r w:rsidR="00997A6B" w:rsidRPr="00BA640D">
        <w:t>.  The Step 2 meeting was held on August 31, 201</w:t>
      </w:r>
      <w:r w:rsidR="00F6659E" w:rsidRPr="00BA640D">
        <w:t xml:space="preserve">0 and the Chancellor </w:t>
      </w:r>
      <w:r w:rsidR="00F34F61" w:rsidRPr="00BA640D">
        <w:t xml:space="preserve">issued a </w:t>
      </w:r>
      <w:r w:rsidR="00F6659E" w:rsidRPr="00BA640D">
        <w:t>decision on September 0</w:t>
      </w:r>
      <w:r w:rsidR="00E65317" w:rsidRPr="00BA640D">
        <w:t>8</w:t>
      </w:r>
      <w:r w:rsidR="006B47F2" w:rsidRPr="00BA640D">
        <w:t>, 2010</w:t>
      </w:r>
      <w:r w:rsidR="00895026" w:rsidRPr="00BA640D">
        <w:t xml:space="preserve">. </w:t>
      </w:r>
      <w:r w:rsidR="00261F7F" w:rsidRPr="00BA640D">
        <w:t xml:space="preserve">Resolution efforts were unsuccessful on May 10, 2011.  The </w:t>
      </w:r>
      <w:proofErr w:type="spellStart"/>
      <w:r w:rsidR="00B20388" w:rsidRPr="00BA640D">
        <w:t>grievant</w:t>
      </w:r>
      <w:r w:rsidR="00B01458">
        <w:t>s</w:t>
      </w:r>
      <w:proofErr w:type="spellEnd"/>
      <w:r w:rsidR="00261F7F" w:rsidRPr="00BA640D">
        <w:t xml:space="preserve"> asked that the dispute be moved to arbitration.</w:t>
      </w:r>
      <w:r w:rsidR="00D47ADB">
        <w:t xml:space="preserve">  </w:t>
      </w:r>
      <w:r w:rsidR="00841EC1">
        <w:t xml:space="preserve">The arbitration was held </w:t>
      </w:r>
      <w:r w:rsidR="0064474E">
        <w:t xml:space="preserve">in Anchorage on </w:t>
      </w:r>
      <w:r w:rsidR="00841EC1">
        <w:t xml:space="preserve">November </w:t>
      </w:r>
      <w:r w:rsidR="0064474E">
        <w:t>0</w:t>
      </w:r>
      <w:r w:rsidR="00841EC1">
        <w:t xml:space="preserve">4, 2011. </w:t>
      </w:r>
      <w:r w:rsidR="00AC48DE">
        <w:t xml:space="preserve"> The Arbitrator’s Opinion and Award was dated </w:t>
      </w:r>
      <w:r w:rsidR="00FE04C5">
        <w:t>and received by the parties</w:t>
      </w:r>
      <w:r w:rsidR="00AC48DE">
        <w:t xml:space="preserve"> on January 19, 2012. The arbitrator ruled that the dispute was </w:t>
      </w:r>
      <w:proofErr w:type="spellStart"/>
      <w:r w:rsidR="00AC48DE">
        <w:t>arbitrable</w:t>
      </w:r>
      <w:proofErr w:type="spellEnd"/>
      <w:r w:rsidR="00AC48DE">
        <w:t xml:space="preserve"> and that the University did not violate the CBA with respect the </w:t>
      </w:r>
      <w:proofErr w:type="spellStart"/>
      <w:r w:rsidR="00AC48DE">
        <w:t>grievants</w:t>
      </w:r>
      <w:proofErr w:type="spellEnd"/>
      <w:r w:rsidR="00AC48DE">
        <w:t xml:space="preserve">’ workloads.  </w:t>
      </w:r>
      <w:r w:rsidR="00FE04C5">
        <w:t xml:space="preserve">The Arbitrator </w:t>
      </w:r>
      <w:r w:rsidR="00AC48DE">
        <w:t xml:space="preserve">ruled that </w:t>
      </w:r>
      <w:proofErr w:type="spellStart"/>
      <w:r w:rsidR="00FE04C5">
        <w:t>grievants</w:t>
      </w:r>
      <w:proofErr w:type="spellEnd"/>
      <w:r w:rsidR="00FE04C5">
        <w:t xml:space="preserve"> prevailed on the </w:t>
      </w:r>
      <w:proofErr w:type="spellStart"/>
      <w:r w:rsidR="00FE04C5">
        <w:t>arbitrability</w:t>
      </w:r>
      <w:proofErr w:type="spellEnd"/>
      <w:r w:rsidR="00FE04C5">
        <w:t xml:space="preserve"> of the grievance, and the </w:t>
      </w:r>
      <w:r w:rsidR="00470FAF">
        <w:t>University</w:t>
      </w:r>
      <w:r w:rsidR="00FE04C5">
        <w:t xml:space="preserve"> prevailed on the merits of the grievance.     </w:t>
      </w:r>
      <w:r w:rsidR="00AC48DE">
        <w:t xml:space="preserve">  </w:t>
      </w:r>
    </w:p>
    <w:p w:rsidR="0060352A" w:rsidRPr="00BA640D" w:rsidRDefault="0060352A" w:rsidP="003D2BAB">
      <w:pPr>
        <w:pStyle w:val="ListParagraph"/>
        <w:rPr>
          <w:b/>
          <w:u w:val="single"/>
        </w:rPr>
      </w:pPr>
    </w:p>
    <w:p w:rsidR="006C793A" w:rsidRDefault="00F6659E" w:rsidP="006C793A">
      <w:pPr>
        <w:pStyle w:val="ListParagraph"/>
        <w:numPr>
          <w:ilvl w:val="0"/>
          <w:numId w:val="7"/>
        </w:numPr>
      </w:pPr>
      <w:r w:rsidRPr="00BA640D">
        <w:rPr>
          <w:b/>
          <w:u w:val="single"/>
        </w:rPr>
        <w:t>UAA School of Nursing</w:t>
      </w:r>
      <w:r w:rsidRPr="00BA640D">
        <w:t xml:space="preserve">:  </w:t>
      </w:r>
      <w:r w:rsidR="00AE332A" w:rsidRPr="00BA640D">
        <w:t xml:space="preserve">The union filed a Step 2 grievance alleging that the university violated Article 5.1.A of the CBA by unilaterally changing the assignment of several nursing faculty members from Bipartite Vocational to Bipartite Academic.  The university provided its position statement to the union on December 15, 2010.  </w:t>
      </w:r>
      <w:r w:rsidR="009E6CDC" w:rsidRPr="00BA640D">
        <w:t xml:space="preserve">The </w:t>
      </w:r>
      <w:r w:rsidR="00B20388" w:rsidRPr="00BA640D">
        <w:t>parties held</w:t>
      </w:r>
      <w:r w:rsidR="00F43D67" w:rsidRPr="00BA640D">
        <w:t xml:space="preserve"> a </w:t>
      </w:r>
      <w:r w:rsidR="008E7370">
        <w:t>S</w:t>
      </w:r>
      <w:r w:rsidR="00F43D67" w:rsidRPr="00BA640D">
        <w:t>tep 2 meeting on May 6, 2011.</w:t>
      </w:r>
      <w:r w:rsidR="00D22CB5" w:rsidRPr="00BA640D">
        <w:t xml:space="preserve">  The </w:t>
      </w:r>
      <w:r w:rsidR="00B20388" w:rsidRPr="00BA640D">
        <w:t>Chancellor</w:t>
      </w:r>
      <w:r w:rsidR="008E7370">
        <w:t xml:space="preserve"> </w:t>
      </w:r>
      <w:r w:rsidR="00FD738A">
        <w:t>denied the grievance on</w:t>
      </w:r>
      <w:r w:rsidR="00D22CB5" w:rsidRPr="00BA640D">
        <w:t xml:space="preserve"> </w:t>
      </w:r>
      <w:r w:rsidR="00FD738A">
        <w:t>June 16, 2011</w:t>
      </w:r>
      <w:r w:rsidR="00D22CB5" w:rsidRPr="00BA640D">
        <w:t>.</w:t>
      </w:r>
      <w:r w:rsidR="00FD738A">
        <w:t xml:space="preserve"> The union appeal</w:t>
      </w:r>
      <w:r w:rsidR="0064474E">
        <w:t>ed the decision.</w:t>
      </w:r>
      <w:r w:rsidR="00FD738A">
        <w:t xml:space="preserve"> to Step 3</w:t>
      </w:r>
      <w:r w:rsidR="0064474E">
        <w:t xml:space="preserve">.  </w:t>
      </w:r>
      <w:r w:rsidR="0047388B">
        <w:t xml:space="preserve">The University notified the Union on September 15, 2011 </w:t>
      </w:r>
      <w:r w:rsidR="000A2EB0">
        <w:t xml:space="preserve">and </w:t>
      </w:r>
      <w:r w:rsidR="0047388B">
        <w:t xml:space="preserve"> move</w:t>
      </w:r>
      <w:r w:rsidR="000A2EB0">
        <w:t>d</w:t>
      </w:r>
      <w:r w:rsidR="0047388B">
        <w:t xml:space="preserve"> the grievance to arbitration.  The parties </w:t>
      </w:r>
      <w:r w:rsidR="000A2EB0">
        <w:t xml:space="preserve">met on October 25, 2011 to </w:t>
      </w:r>
      <w:r w:rsidR="0047388B">
        <w:t xml:space="preserve">strike arbitrators.  </w:t>
      </w:r>
      <w:r w:rsidR="000A2EB0">
        <w:t>The arbitration is scheduled for May 8-9, 2012 in Anchorage.</w:t>
      </w:r>
    </w:p>
    <w:p w:rsidR="006C793A" w:rsidRDefault="006C793A" w:rsidP="006C793A">
      <w:pPr>
        <w:pStyle w:val="ListParagraph"/>
      </w:pPr>
    </w:p>
    <w:p w:rsidR="006C793A" w:rsidRDefault="006C793A" w:rsidP="006C793A">
      <w:pPr>
        <w:pStyle w:val="ListParagraph"/>
      </w:pPr>
    </w:p>
    <w:p w:rsidR="00F8114A" w:rsidRPr="00BA640D" w:rsidRDefault="005F3D20">
      <w:pPr>
        <w:rPr>
          <w:b/>
          <w:u w:val="single"/>
        </w:rPr>
      </w:pPr>
      <w:r w:rsidRPr="00BA640D">
        <w:rPr>
          <w:b/>
          <w:u w:val="single"/>
        </w:rPr>
        <w:t>United Academics (UNAC)</w:t>
      </w:r>
    </w:p>
    <w:p w:rsidR="00DE11DC" w:rsidRDefault="00DE11DC" w:rsidP="00F73DDA">
      <w:pPr>
        <w:jc w:val="both"/>
        <w:rPr>
          <w:u w:val="single"/>
        </w:rPr>
      </w:pPr>
    </w:p>
    <w:p w:rsidR="008A216A" w:rsidRPr="00CE0B7A" w:rsidRDefault="008A216A" w:rsidP="0063011B">
      <w:pPr>
        <w:pStyle w:val="ListParagraph"/>
        <w:numPr>
          <w:ilvl w:val="0"/>
          <w:numId w:val="10"/>
        </w:numPr>
        <w:jc w:val="both"/>
        <w:rPr>
          <w:b/>
          <w:u w:val="single"/>
        </w:rPr>
      </w:pPr>
      <w:r w:rsidRPr="0013623E">
        <w:rPr>
          <w:b/>
          <w:u w:val="single"/>
        </w:rPr>
        <w:t>UAF International Arctic Research Center</w:t>
      </w:r>
      <w:r w:rsidRPr="00F73DDA">
        <w:rPr>
          <w:b/>
        </w:rPr>
        <w:t>:</w:t>
      </w:r>
      <w:r w:rsidR="0013623E" w:rsidRPr="00F73DDA">
        <w:t xml:space="preserve"> </w:t>
      </w:r>
      <w:r w:rsidR="0013623E">
        <w:t xml:space="preserve">UNAC filed a Step 2 grievance </w:t>
      </w:r>
      <w:r w:rsidR="00F73DDA">
        <w:t xml:space="preserve">on January 6, 2012 alleging that the university violated just cause, due process, and disciplinary investigation, (Article 11.1 and Article 11.2) when it issued a notice of inquiry to a faculty member without notifying the union. The Step 2 grievance meeting is scheduled for January 31, 2012. </w:t>
      </w:r>
      <w:r w:rsidR="00AD1881">
        <w:t xml:space="preserve">The university provided a </w:t>
      </w:r>
      <w:r w:rsidR="00470FAF">
        <w:t>S</w:t>
      </w:r>
      <w:r w:rsidR="00AD1881">
        <w:t xml:space="preserve">tep 2 response on February 15, 2012. </w:t>
      </w:r>
      <w:r w:rsidR="00470FAF">
        <w:t>The union</w:t>
      </w:r>
      <w:r w:rsidR="00AD1881">
        <w:t xml:space="preserve"> met with their grievance committee, </w:t>
      </w:r>
      <w:r w:rsidR="00AD1881">
        <w:lastRenderedPageBreak/>
        <w:t xml:space="preserve">and subsequently called </w:t>
      </w:r>
      <w:r w:rsidR="00D23C16">
        <w:t xml:space="preserve">a meeting with their executive board to discuss the </w:t>
      </w:r>
      <w:r w:rsidR="00470FAF">
        <w:t>University’s S</w:t>
      </w:r>
      <w:r w:rsidR="00D23C16">
        <w:t xml:space="preserve">tep 2 response. </w:t>
      </w:r>
      <w:r w:rsidR="00470FAF">
        <w:t>The union</w:t>
      </w:r>
      <w:r w:rsidR="00D23C16">
        <w:t xml:space="preserve"> filed a </w:t>
      </w:r>
      <w:r w:rsidR="00470FAF">
        <w:t>S</w:t>
      </w:r>
      <w:r w:rsidR="00D23C16">
        <w:t>tep 3 grievance with Chancellor on March 8, 2012. The Chancello</w:t>
      </w:r>
      <w:r w:rsidR="000E7445">
        <w:t>r</w:t>
      </w:r>
      <w:r w:rsidR="00D23C16">
        <w:t xml:space="preserve">’s </w:t>
      </w:r>
      <w:r w:rsidR="000E7445">
        <w:t xml:space="preserve">resolution </w:t>
      </w:r>
      <w:r w:rsidR="00D17EEB">
        <w:t>meeting</w:t>
      </w:r>
      <w:r w:rsidR="000E7445">
        <w:t xml:space="preserve"> is due to occur prior to</w:t>
      </w:r>
      <w:r w:rsidR="00D23C16">
        <w:t xml:space="preserve"> March 23, 2012.</w:t>
      </w:r>
      <w:r w:rsidR="000E7445">
        <w:t xml:space="preserve"> </w:t>
      </w:r>
      <w:r w:rsidR="00470FAF">
        <w:t>The parties are schedule to</w:t>
      </w:r>
      <w:r w:rsidR="000E7445">
        <w:t xml:space="preserve"> me</w:t>
      </w:r>
      <w:r w:rsidR="00470FAF">
        <w:t>e</w:t>
      </w:r>
      <w:r w:rsidR="000E7445">
        <w:t xml:space="preserve">t March 14, 2012 to discuss possible resolutions. </w:t>
      </w:r>
    </w:p>
    <w:p w:rsidR="0025418B" w:rsidRPr="00CE0B7A" w:rsidRDefault="0025418B" w:rsidP="00CE0B7A">
      <w:pPr>
        <w:pStyle w:val="ListParagraph"/>
        <w:rPr>
          <w:b/>
          <w:u w:val="single"/>
        </w:rPr>
      </w:pPr>
    </w:p>
    <w:p w:rsidR="00AC48DE" w:rsidRPr="00BA640D" w:rsidRDefault="00FE04C5" w:rsidP="00AC48DE">
      <w:pPr>
        <w:pStyle w:val="ListParagraph"/>
        <w:numPr>
          <w:ilvl w:val="0"/>
          <w:numId w:val="10"/>
        </w:numPr>
      </w:pPr>
      <w:r>
        <w:t>(Pa</w:t>
      </w:r>
      <w:r w:rsidR="00AC48DE">
        <w:t xml:space="preserve">ula UAA-CAS) UNAC filed a </w:t>
      </w:r>
      <w:r w:rsidR="00470FAF">
        <w:t>S</w:t>
      </w:r>
      <w:r w:rsidR="00AC48DE">
        <w:t xml:space="preserve">tep </w:t>
      </w:r>
      <w:r w:rsidR="00470FAF">
        <w:t>1</w:t>
      </w:r>
      <w:r w:rsidR="00AC48DE">
        <w:t xml:space="preserve"> grievance on February 17, 2012 alleging a violation of the evaluation process.  </w:t>
      </w:r>
      <w:r w:rsidR="00470FAF">
        <w:t>The</w:t>
      </w:r>
      <w:r w:rsidR="00AC48DE">
        <w:t xml:space="preserve"> </w:t>
      </w:r>
      <w:r w:rsidR="00470FAF">
        <w:t>S</w:t>
      </w:r>
      <w:r w:rsidR="00AC48DE">
        <w:t xml:space="preserve">tep </w:t>
      </w:r>
      <w:r w:rsidR="00470FAF">
        <w:t>1</w:t>
      </w:r>
      <w:r w:rsidR="00AC48DE">
        <w:t xml:space="preserve"> hearing was held on March 9, 2012.  The university’s written response is due on March 23, 2012.</w:t>
      </w:r>
    </w:p>
    <w:p w:rsidR="00586DFA" w:rsidRDefault="00586DFA" w:rsidP="000A0AD7">
      <w:pPr>
        <w:ind w:left="720"/>
        <w:jc w:val="both"/>
        <w:rPr>
          <w:u w:val="single"/>
        </w:rPr>
      </w:pPr>
    </w:p>
    <w:p w:rsidR="00A11E73" w:rsidRDefault="005F3D20" w:rsidP="007C07CE">
      <w:pPr>
        <w:pStyle w:val="Heading3"/>
        <w:tabs>
          <w:tab w:val="left" w:pos="1827"/>
        </w:tabs>
        <w:rPr>
          <w:b/>
          <w:szCs w:val="24"/>
        </w:rPr>
      </w:pPr>
      <w:r w:rsidRPr="00BA640D">
        <w:rPr>
          <w:b/>
          <w:szCs w:val="24"/>
        </w:rPr>
        <w:t>Local 6070</w:t>
      </w:r>
    </w:p>
    <w:p w:rsidR="00BA2642" w:rsidRPr="00BA2642" w:rsidRDefault="00BA2642" w:rsidP="00BA2642"/>
    <w:p w:rsidR="00841EC1" w:rsidRDefault="00841EC1" w:rsidP="00CE0B7A">
      <w:pPr>
        <w:pStyle w:val="ListParagraph"/>
        <w:numPr>
          <w:ilvl w:val="0"/>
          <w:numId w:val="4"/>
        </w:numPr>
      </w:pPr>
      <w:r w:rsidRPr="00CE0B7A">
        <w:rPr>
          <w:b/>
          <w:u w:val="single"/>
        </w:rPr>
        <w:t>UAF Power Plant</w:t>
      </w:r>
      <w:r w:rsidRPr="00CE0B7A">
        <w:rPr>
          <w:b/>
        </w:rPr>
        <w:t>:</w:t>
      </w:r>
      <w:r>
        <w:t xml:space="preserve"> On September 20, 2011 the union filed a Step 2 </w:t>
      </w:r>
      <w:r w:rsidR="00AA3CF8">
        <w:t xml:space="preserve">class action </w:t>
      </w:r>
      <w:r>
        <w:t>grievance alleging all maintenance employees</w:t>
      </w:r>
      <w:r w:rsidR="00AA3CF8">
        <w:t xml:space="preserve"> in the Power Plant</w:t>
      </w:r>
      <w:r>
        <w:t xml:space="preserve"> should receive a .50 an hour premium pay.</w:t>
      </w:r>
      <w:r w:rsidR="00995F16">
        <w:t xml:space="preserve"> </w:t>
      </w:r>
      <w:r w:rsidR="00431DF5">
        <w:t xml:space="preserve">The grievance alleged the University violated Article 4.10A &amp; Article 6.3.  </w:t>
      </w:r>
      <w:r w:rsidR="00F73DDA">
        <w:t xml:space="preserve">UAF HR requested six (6) extensions, and did not resolve the grievance at Step 2. The grievance was advanced to Step 3 on January 4, 2012. The union made an extensive information request on January 6, 2012. A Step 3 resolution meeting was held on January 17, 2012. The parties were unable to reach a resolution. </w:t>
      </w:r>
      <w:r w:rsidR="00995F16">
        <w:t xml:space="preserve">The </w:t>
      </w:r>
      <w:r w:rsidR="007F7892">
        <w:t xml:space="preserve">University’s </w:t>
      </w:r>
      <w:r w:rsidR="00F73DDA">
        <w:t xml:space="preserve">written </w:t>
      </w:r>
      <w:r w:rsidR="00995F16">
        <w:t xml:space="preserve">response is due </w:t>
      </w:r>
      <w:r w:rsidR="00F73DDA">
        <w:t>January 31, 2012</w:t>
      </w:r>
      <w:r w:rsidR="00995F16">
        <w:t>.</w:t>
      </w:r>
      <w:r w:rsidR="00AD1881">
        <w:t xml:space="preserve"> </w:t>
      </w:r>
      <w:r w:rsidR="00431DF5">
        <w:t>The University denied the grievance at step 3 on January 31, 2012. APEA requested arbitration on February 6, 2012. The parties met and  struck for arbitrators on February 24, 2012. The arbitration is tentatively scheduled for August.</w:t>
      </w:r>
    </w:p>
    <w:p w:rsidR="00BA640D" w:rsidRDefault="00BA640D">
      <w:pPr>
        <w:rPr>
          <w:u w:val="single"/>
        </w:rPr>
      </w:pPr>
    </w:p>
    <w:p w:rsidR="00F73DDA" w:rsidRPr="00BA640D" w:rsidRDefault="00F73DDA">
      <w:pPr>
        <w:rPr>
          <w:u w:val="single"/>
        </w:rPr>
      </w:pPr>
    </w:p>
    <w:p w:rsidR="00A11E73" w:rsidRPr="00BA640D" w:rsidRDefault="00B404D1">
      <w:pPr>
        <w:rPr>
          <w:b/>
        </w:rPr>
      </w:pPr>
      <w:r w:rsidRPr="00BA640D">
        <w:rPr>
          <w:b/>
          <w:u w:val="single"/>
        </w:rPr>
        <w:t>United A</w:t>
      </w:r>
      <w:r w:rsidR="00E34CD5" w:rsidRPr="00BA640D">
        <w:rPr>
          <w:b/>
          <w:u w:val="single"/>
        </w:rPr>
        <w:t xml:space="preserve">cademic </w:t>
      </w:r>
      <w:r w:rsidR="00A11E73" w:rsidRPr="00BA640D">
        <w:rPr>
          <w:b/>
          <w:u w:val="single"/>
        </w:rPr>
        <w:t>– Adjuncts</w:t>
      </w:r>
    </w:p>
    <w:p w:rsidR="00A11E73" w:rsidRPr="00BA640D" w:rsidRDefault="00A11E73"/>
    <w:p w:rsidR="00157F8E" w:rsidRPr="00BA640D" w:rsidRDefault="00A11E73" w:rsidP="00AC48DE">
      <w:pPr>
        <w:pStyle w:val="ListParagraph"/>
        <w:numPr>
          <w:ilvl w:val="0"/>
          <w:numId w:val="11"/>
        </w:numPr>
      </w:pPr>
      <w:r w:rsidRPr="00BA640D">
        <w:t>No grievances are pending.</w:t>
      </w:r>
    </w:p>
    <w:p w:rsidR="00157F8E" w:rsidRPr="00BA640D" w:rsidRDefault="00157F8E"/>
    <w:p w:rsidR="00A11E73" w:rsidRPr="00BA640D" w:rsidRDefault="00A11E73" w:rsidP="00482267">
      <w:pPr>
        <w:rPr>
          <w:b/>
        </w:rPr>
      </w:pPr>
      <w:r w:rsidRPr="00BA640D">
        <w:rPr>
          <w:b/>
        </w:rPr>
        <w:t>ISSUES BEFORE THE ALASKA LABOR RELATIONS AGENCY</w:t>
      </w:r>
    </w:p>
    <w:p w:rsidR="00A11E73" w:rsidRPr="00BA640D" w:rsidRDefault="00A11E73"/>
    <w:p w:rsidR="00F2359B" w:rsidRPr="00BA640D" w:rsidRDefault="00482267" w:rsidP="00F2359B">
      <w:pPr>
        <w:pStyle w:val="HTMLPreformatted"/>
        <w:rPr>
          <w:rFonts w:ascii="Times New Roman" w:hAnsi="Times New Roman" w:cs="Times New Roman"/>
          <w:b/>
          <w:sz w:val="24"/>
          <w:szCs w:val="24"/>
        </w:rPr>
      </w:pPr>
      <w:r w:rsidRPr="00BA640D">
        <w:rPr>
          <w:rFonts w:ascii="Times New Roman" w:hAnsi="Times New Roman" w:cs="Times New Roman"/>
          <w:b/>
          <w:sz w:val="24"/>
          <w:szCs w:val="24"/>
          <w:u w:val="single"/>
        </w:rPr>
        <w:t>Unit Clarification Petition</w:t>
      </w:r>
      <w:r w:rsidRPr="00BA640D">
        <w:rPr>
          <w:rFonts w:ascii="Times New Roman" w:hAnsi="Times New Roman" w:cs="Times New Roman"/>
          <w:sz w:val="24"/>
          <w:szCs w:val="24"/>
        </w:rPr>
        <w:t xml:space="preserve">:  </w:t>
      </w:r>
      <w:r w:rsidR="0013122D">
        <w:rPr>
          <w:rFonts w:ascii="Times New Roman" w:hAnsi="Times New Roman" w:cs="Times New Roman"/>
          <w:sz w:val="24"/>
          <w:szCs w:val="24"/>
        </w:rPr>
        <w:t>On October</w:t>
      </w:r>
      <w:r w:rsidR="00A11E73" w:rsidRPr="00BA640D">
        <w:rPr>
          <w:rFonts w:ascii="Times New Roman" w:hAnsi="Times New Roman" w:cs="Times New Roman"/>
          <w:sz w:val="24"/>
          <w:szCs w:val="24"/>
        </w:rPr>
        <w:t xml:space="preserve"> 17, 2007, UAFT filed an unfair labor practice </w:t>
      </w:r>
      <w:r w:rsidR="001B3E88" w:rsidRPr="00BA640D">
        <w:rPr>
          <w:rFonts w:ascii="Times New Roman" w:hAnsi="Times New Roman" w:cs="Times New Roman"/>
          <w:sz w:val="24"/>
          <w:szCs w:val="24"/>
        </w:rPr>
        <w:t xml:space="preserve">charge </w:t>
      </w:r>
      <w:r w:rsidR="00A11E73" w:rsidRPr="00BA640D">
        <w:rPr>
          <w:rFonts w:ascii="Times New Roman" w:hAnsi="Times New Roman" w:cs="Times New Roman"/>
          <w:sz w:val="24"/>
          <w:szCs w:val="24"/>
        </w:rPr>
        <w:t>(ULP) with the Alaska Labor Relations A</w:t>
      </w:r>
      <w:r w:rsidR="00C3180B" w:rsidRPr="00BA640D">
        <w:rPr>
          <w:rFonts w:ascii="Times New Roman" w:hAnsi="Times New Roman" w:cs="Times New Roman"/>
          <w:sz w:val="24"/>
          <w:szCs w:val="24"/>
        </w:rPr>
        <w:t>gency (ALRA) alleging that the u</w:t>
      </w:r>
      <w:r w:rsidR="00A11E73" w:rsidRPr="00BA640D">
        <w:rPr>
          <w:rFonts w:ascii="Times New Roman" w:hAnsi="Times New Roman" w:cs="Times New Roman"/>
          <w:sz w:val="24"/>
          <w:szCs w:val="24"/>
        </w:rPr>
        <w:t xml:space="preserve">niversity violated the CBA by its placement of new faculty with upper-division </w:t>
      </w:r>
      <w:r w:rsidR="001D5BA2" w:rsidRPr="00BA640D">
        <w:rPr>
          <w:rFonts w:ascii="Times New Roman" w:hAnsi="Times New Roman" w:cs="Times New Roman"/>
          <w:sz w:val="24"/>
          <w:szCs w:val="24"/>
        </w:rPr>
        <w:t xml:space="preserve">teaching </w:t>
      </w:r>
      <w:r w:rsidR="00A11E73" w:rsidRPr="00BA640D">
        <w:rPr>
          <w:rFonts w:ascii="Times New Roman" w:hAnsi="Times New Roman" w:cs="Times New Roman"/>
          <w:sz w:val="24"/>
          <w:szCs w:val="24"/>
        </w:rPr>
        <w:t xml:space="preserve">assignments into the UNAC bargaining unit. </w:t>
      </w:r>
      <w:r w:rsidR="008C2366" w:rsidRPr="00BA640D">
        <w:rPr>
          <w:rFonts w:ascii="Times New Roman" w:hAnsi="Times New Roman" w:cs="Times New Roman"/>
          <w:sz w:val="24"/>
          <w:szCs w:val="24"/>
        </w:rPr>
        <w:t xml:space="preserve"> </w:t>
      </w:r>
      <w:r w:rsidR="00C3180B" w:rsidRPr="00BA640D">
        <w:rPr>
          <w:rFonts w:ascii="Times New Roman" w:hAnsi="Times New Roman" w:cs="Times New Roman"/>
          <w:sz w:val="24"/>
          <w:szCs w:val="24"/>
        </w:rPr>
        <w:t>In response, the u</w:t>
      </w:r>
      <w:r w:rsidR="00A11E73" w:rsidRPr="00BA640D">
        <w:rPr>
          <w:rFonts w:ascii="Times New Roman" w:hAnsi="Times New Roman" w:cs="Times New Roman"/>
          <w:sz w:val="24"/>
          <w:szCs w:val="24"/>
        </w:rPr>
        <w:t xml:space="preserve">niversity filed a unit clarification petition. </w:t>
      </w:r>
      <w:r w:rsidR="00F75841" w:rsidRPr="00BA640D">
        <w:rPr>
          <w:rFonts w:ascii="Times New Roman" w:hAnsi="Times New Roman" w:cs="Times New Roman"/>
          <w:sz w:val="24"/>
          <w:szCs w:val="24"/>
        </w:rPr>
        <w:t xml:space="preserve">  On August 25, 2009, the ALRA </w:t>
      </w:r>
      <w:r w:rsidR="00C3180B" w:rsidRPr="00BA640D">
        <w:rPr>
          <w:rFonts w:ascii="Times New Roman" w:hAnsi="Times New Roman" w:cs="Times New Roman"/>
          <w:sz w:val="24"/>
          <w:szCs w:val="24"/>
        </w:rPr>
        <w:t>accepted the u</w:t>
      </w:r>
      <w:r w:rsidR="001B3E88" w:rsidRPr="00BA640D">
        <w:rPr>
          <w:rFonts w:ascii="Times New Roman" w:hAnsi="Times New Roman" w:cs="Times New Roman"/>
          <w:sz w:val="24"/>
          <w:szCs w:val="24"/>
        </w:rPr>
        <w:t xml:space="preserve">niversity’s Petition for Unit Clarification </w:t>
      </w:r>
      <w:r w:rsidR="008C2366" w:rsidRPr="00BA640D">
        <w:rPr>
          <w:rFonts w:ascii="Times New Roman" w:hAnsi="Times New Roman" w:cs="Times New Roman"/>
          <w:sz w:val="24"/>
          <w:szCs w:val="24"/>
        </w:rPr>
        <w:t xml:space="preserve">and </w:t>
      </w:r>
      <w:r w:rsidR="00F75841" w:rsidRPr="00BA640D">
        <w:rPr>
          <w:rFonts w:ascii="Times New Roman" w:hAnsi="Times New Roman" w:cs="Times New Roman"/>
          <w:sz w:val="24"/>
          <w:szCs w:val="24"/>
        </w:rPr>
        <w:t>placed the unfair labor practice complaints in abeyance pending the determination of th</w:t>
      </w:r>
      <w:r w:rsidR="001B3E88" w:rsidRPr="00BA640D">
        <w:rPr>
          <w:rFonts w:ascii="Times New Roman" w:hAnsi="Times New Roman" w:cs="Times New Roman"/>
          <w:sz w:val="24"/>
          <w:szCs w:val="24"/>
        </w:rPr>
        <w:t>at</w:t>
      </w:r>
      <w:r w:rsidR="00F75841" w:rsidRPr="00BA640D">
        <w:rPr>
          <w:rFonts w:ascii="Times New Roman" w:hAnsi="Times New Roman" w:cs="Times New Roman"/>
          <w:sz w:val="24"/>
          <w:szCs w:val="24"/>
        </w:rPr>
        <w:t xml:space="preserve"> petition</w:t>
      </w:r>
      <w:r w:rsidR="00B738FA" w:rsidRPr="00BA640D">
        <w:rPr>
          <w:rFonts w:ascii="Times New Roman" w:hAnsi="Times New Roman" w:cs="Times New Roman"/>
          <w:sz w:val="24"/>
          <w:szCs w:val="24"/>
        </w:rPr>
        <w:t>.</w:t>
      </w:r>
      <w:r w:rsidR="009C5DAE" w:rsidRPr="00BA640D">
        <w:rPr>
          <w:rFonts w:ascii="Times New Roman" w:hAnsi="Times New Roman" w:cs="Times New Roman"/>
          <w:sz w:val="24"/>
          <w:szCs w:val="24"/>
        </w:rPr>
        <w:t xml:space="preserve"> </w:t>
      </w:r>
      <w:r w:rsidR="00F2359B" w:rsidRPr="00BA640D">
        <w:rPr>
          <w:rFonts w:ascii="Times New Roman" w:hAnsi="Times New Roman" w:cs="Times New Roman"/>
          <w:sz w:val="24"/>
          <w:szCs w:val="24"/>
        </w:rPr>
        <w:t xml:space="preserve"> </w:t>
      </w:r>
      <w:r w:rsidR="002D7CB2" w:rsidRPr="00BA640D">
        <w:rPr>
          <w:rFonts w:ascii="Times New Roman" w:hAnsi="Times New Roman" w:cs="Times New Roman"/>
          <w:sz w:val="24"/>
          <w:szCs w:val="24"/>
        </w:rPr>
        <w:t>The ALRA hearing</w:t>
      </w:r>
      <w:r w:rsidR="006E270F" w:rsidRPr="00BA640D">
        <w:rPr>
          <w:rFonts w:ascii="Times New Roman" w:hAnsi="Times New Roman" w:cs="Times New Roman"/>
          <w:sz w:val="24"/>
          <w:szCs w:val="24"/>
        </w:rPr>
        <w:t xml:space="preserve"> </w:t>
      </w:r>
      <w:r w:rsidR="00CB7444" w:rsidRPr="00BA640D">
        <w:rPr>
          <w:rFonts w:ascii="Times New Roman" w:hAnsi="Times New Roman" w:cs="Times New Roman"/>
          <w:sz w:val="24"/>
          <w:szCs w:val="24"/>
        </w:rPr>
        <w:t>began</w:t>
      </w:r>
      <w:r w:rsidR="002D7CB2" w:rsidRPr="00BA640D">
        <w:rPr>
          <w:rFonts w:ascii="Times New Roman" w:hAnsi="Times New Roman" w:cs="Times New Roman"/>
          <w:sz w:val="24"/>
          <w:szCs w:val="24"/>
        </w:rPr>
        <w:t xml:space="preserve"> on April </w:t>
      </w:r>
      <w:r w:rsidR="00CB7444" w:rsidRPr="00BA640D">
        <w:rPr>
          <w:rFonts w:ascii="Times New Roman" w:hAnsi="Times New Roman" w:cs="Times New Roman"/>
          <w:sz w:val="24"/>
          <w:szCs w:val="24"/>
        </w:rPr>
        <w:t>5</w:t>
      </w:r>
      <w:r w:rsidR="002D7CB2" w:rsidRPr="00BA640D">
        <w:rPr>
          <w:rFonts w:ascii="Times New Roman" w:hAnsi="Times New Roman" w:cs="Times New Roman"/>
          <w:sz w:val="24"/>
          <w:szCs w:val="24"/>
        </w:rPr>
        <w:t>, 2010</w:t>
      </w:r>
      <w:r w:rsidR="00B738FA" w:rsidRPr="00BA640D">
        <w:rPr>
          <w:rFonts w:ascii="Times New Roman" w:hAnsi="Times New Roman" w:cs="Times New Roman"/>
          <w:sz w:val="24"/>
          <w:szCs w:val="24"/>
        </w:rPr>
        <w:t xml:space="preserve"> and lasted until April 22, 2010</w:t>
      </w:r>
      <w:r w:rsidR="002D7CB2" w:rsidRPr="00BA640D">
        <w:rPr>
          <w:rFonts w:ascii="Times New Roman" w:hAnsi="Times New Roman" w:cs="Times New Roman"/>
          <w:sz w:val="24"/>
          <w:szCs w:val="24"/>
        </w:rPr>
        <w:t>.</w:t>
      </w:r>
      <w:r w:rsidR="00B738FA" w:rsidRPr="00BA640D">
        <w:rPr>
          <w:rFonts w:ascii="Times New Roman" w:hAnsi="Times New Roman" w:cs="Times New Roman"/>
          <w:sz w:val="24"/>
          <w:szCs w:val="24"/>
        </w:rPr>
        <w:t xml:space="preserve"> </w:t>
      </w:r>
      <w:r w:rsidR="005811F0" w:rsidRPr="00BA640D">
        <w:rPr>
          <w:rFonts w:ascii="Times New Roman" w:hAnsi="Times New Roman" w:cs="Times New Roman"/>
          <w:sz w:val="24"/>
          <w:szCs w:val="24"/>
        </w:rPr>
        <w:t xml:space="preserve"> </w:t>
      </w:r>
      <w:r w:rsidR="005E453A" w:rsidRPr="00BA640D">
        <w:rPr>
          <w:rFonts w:ascii="Times New Roman" w:hAnsi="Times New Roman" w:cs="Times New Roman"/>
          <w:sz w:val="24"/>
          <w:szCs w:val="24"/>
        </w:rPr>
        <w:t xml:space="preserve">Post hearing briefs and response briefs </w:t>
      </w:r>
      <w:r w:rsidR="009E6CDC" w:rsidRPr="00BA640D">
        <w:rPr>
          <w:rFonts w:ascii="Times New Roman" w:hAnsi="Times New Roman" w:cs="Times New Roman"/>
          <w:sz w:val="24"/>
          <w:szCs w:val="24"/>
        </w:rPr>
        <w:t>were</w:t>
      </w:r>
      <w:r w:rsidR="005E453A" w:rsidRPr="00BA640D">
        <w:rPr>
          <w:rFonts w:ascii="Times New Roman" w:hAnsi="Times New Roman" w:cs="Times New Roman"/>
          <w:sz w:val="24"/>
          <w:szCs w:val="24"/>
        </w:rPr>
        <w:t xml:space="preserve"> filed and the issue</w:t>
      </w:r>
      <w:r w:rsidR="004B516E" w:rsidRPr="00BA640D">
        <w:rPr>
          <w:rFonts w:ascii="Times New Roman" w:hAnsi="Times New Roman" w:cs="Times New Roman"/>
          <w:sz w:val="24"/>
          <w:szCs w:val="24"/>
        </w:rPr>
        <w:t xml:space="preserve"> is</w:t>
      </w:r>
      <w:r w:rsidR="009E6CDC" w:rsidRPr="00BA640D">
        <w:rPr>
          <w:rFonts w:ascii="Times New Roman" w:hAnsi="Times New Roman" w:cs="Times New Roman"/>
          <w:sz w:val="24"/>
          <w:szCs w:val="24"/>
        </w:rPr>
        <w:t xml:space="preserve"> </w:t>
      </w:r>
      <w:r w:rsidR="005E453A" w:rsidRPr="00BA640D">
        <w:rPr>
          <w:rFonts w:ascii="Times New Roman" w:hAnsi="Times New Roman" w:cs="Times New Roman"/>
          <w:sz w:val="24"/>
          <w:szCs w:val="24"/>
        </w:rPr>
        <w:t>before the Agency for a decision</w:t>
      </w:r>
      <w:r w:rsidR="004B516E" w:rsidRPr="00BA640D">
        <w:rPr>
          <w:rFonts w:ascii="Times New Roman" w:hAnsi="Times New Roman" w:cs="Times New Roman"/>
          <w:sz w:val="24"/>
          <w:szCs w:val="24"/>
        </w:rPr>
        <w:t>.</w:t>
      </w:r>
      <w:r w:rsidR="00893E40" w:rsidRPr="00BA640D">
        <w:rPr>
          <w:rFonts w:ascii="Times New Roman" w:hAnsi="Times New Roman" w:cs="Times New Roman"/>
          <w:sz w:val="24"/>
          <w:szCs w:val="24"/>
        </w:rPr>
        <w:t xml:space="preserve"> </w:t>
      </w:r>
      <w:r w:rsidR="00184045">
        <w:rPr>
          <w:rFonts w:ascii="Times New Roman" w:hAnsi="Times New Roman" w:cs="Times New Roman"/>
          <w:sz w:val="24"/>
          <w:szCs w:val="24"/>
        </w:rPr>
        <w:t xml:space="preserve">On </w:t>
      </w:r>
      <w:r w:rsidR="00CC7083">
        <w:rPr>
          <w:rFonts w:ascii="Times New Roman" w:hAnsi="Times New Roman" w:cs="Times New Roman"/>
          <w:sz w:val="24"/>
          <w:szCs w:val="24"/>
        </w:rPr>
        <w:t>October</w:t>
      </w:r>
      <w:r w:rsidR="00184045">
        <w:rPr>
          <w:rFonts w:ascii="Times New Roman" w:hAnsi="Times New Roman" w:cs="Times New Roman"/>
          <w:sz w:val="24"/>
          <w:szCs w:val="24"/>
        </w:rPr>
        <w:t xml:space="preserve"> 04, 201</w:t>
      </w:r>
      <w:r w:rsidR="00CC7083">
        <w:rPr>
          <w:rFonts w:ascii="Times New Roman" w:hAnsi="Times New Roman" w:cs="Times New Roman"/>
          <w:sz w:val="24"/>
          <w:szCs w:val="24"/>
        </w:rPr>
        <w:t xml:space="preserve">1, </w:t>
      </w:r>
      <w:r w:rsidR="00505021">
        <w:rPr>
          <w:rFonts w:ascii="Times New Roman" w:hAnsi="Times New Roman" w:cs="Times New Roman"/>
          <w:sz w:val="24"/>
          <w:szCs w:val="24"/>
        </w:rPr>
        <w:t xml:space="preserve">the ALRA </w:t>
      </w:r>
      <w:r w:rsidR="00CC7083">
        <w:rPr>
          <w:rFonts w:ascii="Times New Roman" w:hAnsi="Times New Roman" w:cs="Times New Roman"/>
          <w:sz w:val="24"/>
          <w:szCs w:val="24"/>
        </w:rPr>
        <w:t xml:space="preserve">notified the parties that they wanted </w:t>
      </w:r>
      <w:r w:rsidR="00505021">
        <w:rPr>
          <w:rFonts w:ascii="Times New Roman" w:hAnsi="Times New Roman" w:cs="Times New Roman"/>
          <w:sz w:val="24"/>
          <w:szCs w:val="24"/>
        </w:rPr>
        <w:t>briefing</w:t>
      </w:r>
      <w:r w:rsidR="00CC7083">
        <w:rPr>
          <w:rFonts w:ascii="Times New Roman" w:hAnsi="Times New Roman" w:cs="Times New Roman"/>
          <w:sz w:val="24"/>
          <w:szCs w:val="24"/>
        </w:rPr>
        <w:t xml:space="preserve"> on the appropriateness of one unit of non-adjunct faculty at the University.  </w:t>
      </w:r>
      <w:r w:rsidR="008A0402">
        <w:rPr>
          <w:rFonts w:ascii="Times New Roman" w:hAnsi="Times New Roman" w:cs="Times New Roman"/>
          <w:sz w:val="24"/>
          <w:szCs w:val="24"/>
        </w:rPr>
        <w:t>F</w:t>
      </w:r>
      <w:r w:rsidR="00CC7083">
        <w:rPr>
          <w:rFonts w:ascii="Times New Roman" w:hAnsi="Times New Roman" w:cs="Times New Roman"/>
          <w:sz w:val="24"/>
          <w:szCs w:val="24"/>
        </w:rPr>
        <w:t xml:space="preserve">ile briefs </w:t>
      </w:r>
      <w:r w:rsidR="008A0402">
        <w:rPr>
          <w:rFonts w:ascii="Times New Roman" w:hAnsi="Times New Roman" w:cs="Times New Roman"/>
          <w:sz w:val="24"/>
          <w:szCs w:val="24"/>
        </w:rPr>
        <w:t xml:space="preserve">were submitted to </w:t>
      </w:r>
      <w:r w:rsidR="00CC7083">
        <w:rPr>
          <w:rFonts w:ascii="Times New Roman" w:hAnsi="Times New Roman" w:cs="Times New Roman"/>
          <w:sz w:val="24"/>
          <w:szCs w:val="24"/>
        </w:rPr>
        <w:t xml:space="preserve">ALRA on December </w:t>
      </w:r>
      <w:r w:rsidR="00AA3CF8">
        <w:rPr>
          <w:rFonts w:ascii="Times New Roman" w:hAnsi="Times New Roman" w:cs="Times New Roman"/>
          <w:sz w:val="24"/>
          <w:szCs w:val="24"/>
        </w:rPr>
        <w:t xml:space="preserve">21, </w:t>
      </w:r>
      <w:r w:rsidR="00CC7083">
        <w:rPr>
          <w:rFonts w:ascii="Times New Roman" w:hAnsi="Times New Roman" w:cs="Times New Roman"/>
          <w:sz w:val="24"/>
          <w:szCs w:val="24"/>
        </w:rPr>
        <w:t>2011.</w:t>
      </w:r>
      <w:r w:rsidR="008A0402">
        <w:rPr>
          <w:rFonts w:ascii="Times New Roman" w:hAnsi="Times New Roman" w:cs="Times New Roman"/>
          <w:sz w:val="24"/>
          <w:szCs w:val="24"/>
        </w:rPr>
        <w:t xml:space="preserve">  A decision is pending.  </w:t>
      </w:r>
    </w:p>
    <w:p w:rsidR="005770D8" w:rsidRPr="00BA640D" w:rsidRDefault="005770D8" w:rsidP="002032FF">
      <w:pPr>
        <w:pStyle w:val="HTMLPreformatted"/>
        <w:rPr>
          <w:sz w:val="24"/>
          <w:szCs w:val="24"/>
        </w:rPr>
      </w:pPr>
    </w:p>
    <w:p w:rsidR="000A1257" w:rsidRPr="007F4CE8" w:rsidRDefault="008A02E3" w:rsidP="002032FF">
      <w:pPr>
        <w:pStyle w:val="HTMLPreformatted"/>
        <w:rPr>
          <w:rFonts w:ascii="Times New Roman" w:hAnsi="Times New Roman" w:cs="Times New Roman"/>
          <w:sz w:val="24"/>
          <w:szCs w:val="24"/>
        </w:rPr>
      </w:pPr>
      <w:r w:rsidRPr="00BA640D">
        <w:rPr>
          <w:rFonts w:ascii="Times New Roman" w:hAnsi="Times New Roman" w:cs="Times New Roman"/>
          <w:b/>
          <w:sz w:val="24"/>
          <w:szCs w:val="24"/>
          <w:u w:val="single"/>
        </w:rPr>
        <w:lastRenderedPageBreak/>
        <w:t>ASEA Unfair Labor Practice</w:t>
      </w:r>
      <w:r w:rsidRPr="00BA640D">
        <w:rPr>
          <w:rFonts w:ascii="Times New Roman" w:hAnsi="Times New Roman" w:cs="Times New Roman"/>
          <w:b/>
          <w:sz w:val="24"/>
          <w:szCs w:val="24"/>
        </w:rPr>
        <w:t>:</w:t>
      </w:r>
      <w:r w:rsidR="000A1257" w:rsidRPr="00BA640D">
        <w:rPr>
          <w:rFonts w:ascii="Times New Roman" w:hAnsi="Times New Roman" w:cs="Times New Roman"/>
          <w:b/>
          <w:sz w:val="24"/>
          <w:szCs w:val="24"/>
        </w:rPr>
        <w:t xml:space="preserve">  </w:t>
      </w:r>
      <w:r w:rsidR="000A1257" w:rsidRPr="00BA640D">
        <w:rPr>
          <w:rFonts w:ascii="Times New Roman" w:hAnsi="Times New Roman" w:cs="Times New Roman"/>
          <w:sz w:val="24"/>
          <w:szCs w:val="24"/>
        </w:rPr>
        <w:t xml:space="preserve">On April 19, 2011 the Alaska State Employees Association </w:t>
      </w:r>
      <w:r w:rsidR="007A75AA">
        <w:rPr>
          <w:rFonts w:ascii="Times New Roman" w:hAnsi="Times New Roman" w:cs="Times New Roman"/>
          <w:sz w:val="24"/>
          <w:szCs w:val="24"/>
        </w:rPr>
        <w:t xml:space="preserve">(ASEA) </w:t>
      </w:r>
      <w:r w:rsidR="000A1257" w:rsidRPr="00BA640D">
        <w:rPr>
          <w:rFonts w:ascii="Times New Roman" w:hAnsi="Times New Roman" w:cs="Times New Roman"/>
          <w:sz w:val="24"/>
          <w:szCs w:val="24"/>
        </w:rPr>
        <w:t xml:space="preserve">filed an unfair labor practice charge (ULP) with the Alaska Labor Relations Agency (ALRA) alleging that the university </w:t>
      </w:r>
      <w:r w:rsidR="00893E40" w:rsidRPr="00BA640D">
        <w:rPr>
          <w:rFonts w:ascii="Times New Roman" w:hAnsi="Times New Roman" w:cs="Times New Roman"/>
          <w:sz w:val="24"/>
          <w:szCs w:val="24"/>
        </w:rPr>
        <w:t>violated the Public Employ</w:t>
      </w:r>
      <w:r w:rsidR="00012377" w:rsidRPr="00BA640D">
        <w:rPr>
          <w:rFonts w:ascii="Times New Roman" w:hAnsi="Times New Roman" w:cs="Times New Roman"/>
          <w:sz w:val="24"/>
          <w:szCs w:val="24"/>
        </w:rPr>
        <w:t>ment</w:t>
      </w:r>
      <w:r w:rsidR="00893E40" w:rsidRPr="00BA640D">
        <w:rPr>
          <w:rFonts w:ascii="Times New Roman" w:hAnsi="Times New Roman" w:cs="Times New Roman"/>
          <w:sz w:val="24"/>
          <w:szCs w:val="24"/>
        </w:rPr>
        <w:t xml:space="preserve"> Relations Act (PERA) by interference, coercion, and restraining exercise of </w:t>
      </w:r>
      <w:r w:rsidR="00012377" w:rsidRPr="00BA640D">
        <w:rPr>
          <w:rFonts w:ascii="Times New Roman" w:hAnsi="Times New Roman" w:cs="Times New Roman"/>
          <w:sz w:val="24"/>
          <w:szCs w:val="24"/>
        </w:rPr>
        <w:t xml:space="preserve">employee organizing </w:t>
      </w:r>
      <w:r w:rsidR="00893E40" w:rsidRPr="00BA640D">
        <w:rPr>
          <w:rFonts w:ascii="Times New Roman" w:hAnsi="Times New Roman" w:cs="Times New Roman"/>
          <w:sz w:val="24"/>
          <w:szCs w:val="24"/>
        </w:rPr>
        <w:t>rights</w:t>
      </w:r>
      <w:r w:rsidR="00012377" w:rsidRPr="00BA640D">
        <w:rPr>
          <w:rFonts w:ascii="Times New Roman" w:hAnsi="Times New Roman" w:cs="Times New Roman"/>
          <w:sz w:val="24"/>
          <w:szCs w:val="24"/>
        </w:rPr>
        <w:t xml:space="preserve">. </w:t>
      </w:r>
      <w:r w:rsidR="00CB7B7F">
        <w:rPr>
          <w:rFonts w:ascii="Times New Roman" w:hAnsi="Times New Roman" w:cs="Times New Roman"/>
          <w:sz w:val="24"/>
          <w:szCs w:val="24"/>
        </w:rPr>
        <w:t xml:space="preserve"> </w:t>
      </w:r>
      <w:r w:rsidR="00012377" w:rsidRPr="00BA640D">
        <w:rPr>
          <w:rFonts w:ascii="Times New Roman" w:hAnsi="Times New Roman" w:cs="Times New Roman"/>
          <w:sz w:val="24"/>
          <w:szCs w:val="24"/>
        </w:rPr>
        <w:t xml:space="preserve">On April 20, 2011 the ALRA stated it would conduct an investigation. </w:t>
      </w:r>
      <w:r w:rsidR="00CB7B7F">
        <w:rPr>
          <w:rFonts w:ascii="Times New Roman" w:hAnsi="Times New Roman" w:cs="Times New Roman"/>
          <w:sz w:val="24"/>
          <w:szCs w:val="24"/>
        </w:rPr>
        <w:t xml:space="preserve"> </w:t>
      </w:r>
      <w:r w:rsidR="00012377" w:rsidRPr="00BA640D">
        <w:rPr>
          <w:rFonts w:ascii="Times New Roman" w:hAnsi="Times New Roman" w:cs="Times New Roman"/>
          <w:sz w:val="24"/>
          <w:szCs w:val="24"/>
        </w:rPr>
        <w:t xml:space="preserve">The university sent its response to ASEA’s allegations on May </w:t>
      </w:r>
      <w:r w:rsidR="00841EC1">
        <w:rPr>
          <w:rFonts w:ascii="Times New Roman" w:hAnsi="Times New Roman" w:cs="Times New Roman"/>
          <w:sz w:val="24"/>
          <w:szCs w:val="24"/>
        </w:rPr>
        <w:t>0</w:t>
      </w:r>
      <w:r w:rsidR="00012377" w:rsidRPr="00BA640D">
        <w:rPr>
          <w:rFonts w:ascii="Times New Roman" w:hAnsi="Times New Roman" w:cs="Times New Roman"/>
          <w:sz w:val="24"/>
          <w:szCs w:val="24"/>
        </w:rPr>
        <w:t>4, 2011.</w:t>
      </w:r>
      <w:r w:rsidR="00CB7B7F">
        <w:rPr>
          <w:rFonts w:ascii="Times New Roman" w:hAnsi="Times New Roman" w:cs="Times New Roman"/>
          <w:sz w:val="24"/>
          <w:szCs w:val="24"/>
        </w:rPr>
        <w:t xml:space="preserve"> </w:t>
      </w:r>
      <w:r w:rsidR="00012377" w:rsidRPr="00BA640D">
        <w:rPr>
          <w:rFonts w:ascii="Times New Roman" w:hAnsi="Times New Roman" w:cs="Times New Roman"/>
          <w:sz w:val="24"/>
          <w:szCs w:val="24"/>
        </w:rPr>
        <w:t xml:space="preserve"> </w:t>
      </w:r>
      <w:r w:rsidR="007F4CE8">
        <w:rPr>
          <w:rFonts w:ascii="Times New Roman" w:hAnsi="Times New Roman" w:cs="Times New Roman"/>
          <w:sz w:val="24"/>
          <w:szCs w:val="24"/>
        </w:rPr>
        <w:t xml:space="preserve">ASEA filed a response to UA’s response on </w:t>
      </w:r>
      <w:r w:rsidR="007F4CE8" w:rsidRPr="0013122D">
        <w:rPr>
          <w:rFonts w:ascii="Times New Roman" w:hAnsi="Times New Roman" w:cs="Times New Roman"/>
          <w:sz w:val="24"/>
          <w:szCs w:val="24"/>
        </w:rPr>
        <w:t>June 27, 2011.</w:t>
      </w:r>
      <w:r w:rsidR="007F4CE8">
        <w:rPr>
          <w:rFonts w:ascii="Times New Roman" w:hAnsi="Times New Roman" w:cs="Times New Roman"/>
          <w:sz w:val="24"/>
          <w:szCs w:val="24"/>
        </w:rPr>
        <w:t xml:space="preserve"> </w:t>
      </w:r>
      <w:r w:rsidR="00CB7B7F">
        <w:rPr>
          <w:rFonts w:ascii="Times New Roman" w:hAnsi="Times New Roman" w:cs="Times New Roman"/>
          <w:sz w:val="24"/>
          <w:szCs w:val="24"/>
        </w:rPr>
        <w:t xml:space="preserve"> </w:t>
      </w:r>
      <w:r w:rsidR="00AE33D8">
        <w:rPr>
          <w:rFonts w:ascii="Times New Roman" w:hAnsi="Times New Roman" w:cs="Times New Roman"/>
          <w:sz w:val="24"/>
          <w:szCs w:val="24"/>
        </w:rPr>
        <w:t xml:space="preserve">On November </w:t>
      </w:r>
      <w:r w:rsidR="00841EC1">
        <w:rPr>
          <w:rFonts w:ascii="Times New Roman" w:hAnsi="Times New Roman" w:cs="Times New Roman"/>
          <w:sz w:val="24"/>
          <w:szCs w:val="24"/>
        </w:rPr>
        <w:t>0</w:t>
      </w:r>
      <w:r w:rsidR="00AE33D8">
        <w:rPr>
          <w:rFonts w:ascii="Times New Roman" w:hAnsi="Times New Roman" w:cs="Times New Roman"/>
          <w:sz w:val="24"/>
          <w:szCs w:val="24"/>
        </w:rPr>
        <w:t xml:space="preserve">9, 2011 ASEA filed a motion to amend the ULP. </w:t>
      </w:r>
      <w:r w:rsidR="00CB7B7F">
        <w:rPr>
          <w:rFonts w:ascii="Times New Roman" w:hAnsi="Times New Roman" w:cs="Times New Roman"/>
          <w:sz w:val="24"/>
          <w:szCs w:val="24"/>
        </w:rPr>
        <w:t xml:space="preserve"> </w:t>
      </w:r>
      <w:r w:rsidR="00AE33D8">
        <w:rPr>
          <w:rFonts w:ascii="Times New Roman" w:hAnsi="Times New Roman" w:cs="Times New Roman"/>
          <w:sz w:val="24"/>
          <w:szCs w:val="24"/>
        </w:rPr>
        <w:t>The amendment alleges defamation, refusal to provide a response to information in Excel format and alleges Staff Alliance as a company union.</w:t>
      </w:r>
      <w:r w:rsidR="00CB7B7F">
        <w:rPr>
          <w:rFonts w:ascii="Times New Roman" w:hAnsi="Times New Roman" w:cs="Times New Roman"/>
          <w:sz w:val="24"/>
          <w:szCs w:val="24"/>
        </w:rPr>
        <w:t xml:space="preserve">  On December 09, 2011 ASEA filed a second motion to amend the ULP.  The second motion alleges UA obstructed delivery of mail to UAF employees.  </w:t>
      </w:r>
      <w:r w:rsidR="00F73DDA">
        <w:rPr>
          <w:rFonts w:ascii="Times New Roman" w:hAnsi="Times New Roman" w:cs="Times New Roman"/>
          <w:sz w:val="24"/>
          <w:szCs w:val="24"/>
        </w:rPr>
        <w:t xml:space="preserve">The university responded to ASEA’s motions on January 27, 2012. ASEA </w:t>
      </w:r>
      <w:r w:rsidR="007A75AA">
        <w:rPr>
          <w:rFonts w:ascii="Times New Roman" w:hAnsi="Times New Roman" w:cs="Times New Roman"/>
          <w:sz w:val="24"/>
          <w:szCs w:val="24"/>
        </w:rPr>
        <w:t xml:space="preserve">then </w:t>
      </w:r>
      <w:r w:rsidR="00F73DDA">
        <w:rPr>
          <w:rFonts w:ascii="Times New Roman" w:hAnsi="Times New Roman" w:cs="Times New Roman"/>
          <w:sz w:val="24"/>
          <w:szCs w:val="24"/>
        </w:rPr>
        <w:t xml:space="preserve">filed an additional reply to UA’s response on February 24, 2012. UA filed a replied to ASEA’s reply on March </w:t>
      </w:r>
      <w:r w:rsidR="007A75AA">
        <w:rPr>
          <w:rFonts w:ascii="Times New Roman" w:hAnsi="Times New Roman" w:cs="Times New Roman"/>
          <w:sz w:val="24"/>
          <w:szCs w:val="24"/>
        </w:rPr>
        <w:t>0</w:t>
      </w:r>
      <w:r w:rsidR="00F73DDA">
        <w:rPr>
          <w:rFonts w:ascii="Times New Roman" w:hAnsi="Times New Roman" w:cs="Times New Roman"/>
          <w:sz w:val="24"/>
          <w:szCs w:val="24"/>
        </w:rPr>
        <w:t xml:space="preserve">7, 2012. </w:t>
      </w:r>
      <w:r w:rsidR="007A75AA">
        <w:rPr>
          <w:rFonts w:ascii="Times New Roman" w:hAnsi="Times New Roman" w:cs="Times New Roman"/>
          <w:sz w:val="24"/>
          <w:szCs w:val="24"/>
        </w:rPr>
        <w:t xml:space="preserve">Additionally, ASEA filed a motion for a hearing to take depositions; the university opposed the depositions. On February 24, 2012 the ALRA denied ASEA’s motion for a hearing to take depositions. </w:t>
      </w:r>
    </w:p>
    <w:p w:rsidR="00B738FA" w:rsidRPr="00BA640D" w:rsidRDefault="00B738FA"/>
    <w:p w:rsidR="00BA640D" w:rsidRPr="00BA640D" w:rsidRDefault="00BA640D"/>
    <w:p w:rsidR="00466106" w:rsidRPr="00BA640D" w:rsidRDefault="00466106" w:rsidP="00466106">
      <w:pPr>
        <w:pStyle w:val="BodyText2"/>
        <w:keepNext/>
      </w:pPr>
      <w:r w:rsidRPr="00BA640D">
        <w:t>EMPLOYEE RELATIONS HIGHLIGHTS</w:t>
      </w:r>
    </w:p>
    <w:p w:rsidR="00242A6D" w:rsidRPr="00BA640D" w:rsidRDefault="00242A6D" w:rsidP="00466106">
      <w:pPr>
        <w:pStyle w:val="BodyText2"/>
        <w:keepNext/>
      </w:pPr>
    </w:p>
    <w:p w:rsidR="00F265D2" w:rsidRPr="00BA640D" w:rsidRDefault="00F265D2" w:rsidP="00F265D2">
      <w:pPr>
        <w:numPr>
          <w:ilvl w:val="0"/>
          <w:numId w:val="2"/>
        </w:numPr>
        <w:jc w:val="both"/>
      </w:pPr>
      <w:r w:rsidRPr="00BA640D">
        <w:rPr>
          <w:b/>
          <w:u w:val="single"/>
        </w:rPr>
        <w:t>UAF</w:t>
      </w:r>
      <w:r w:rsidR="00843814" w:rsidRPr="00BA640D">
        <w:rPr>
          <w:b/>
          <w:u w:val="single"/>
        </w:rPr>
        <w:t xml:space="preserve"> Community and Technical College (</w:t>
      </w:r>
      <w:r w:rsidR="006B347F" w:rsidRPr="00BA640D">
        <w:rPr>
          <w:b/>
          <w:u w:val="single"/>
        </w:rPr>
        <w:t xml:space="preserve">formerly </w:t>
      </w:r>
      <w:r w:rsidRPr="00BA640D">
        <w:rPr>
          <w:b/>
          <w:u w:val="single"/>
        </w:rPr>
        <w:t>Tanana Valley Campus</w:t>
      </w:r>
      <w:r w:rsidR="00843814" w:rsidRPr="00BA640D">
        <w:rPr>
          <w:b/>
          <w:u w:val="single"/>
        </w:rPr>
        <w:t>)</w:t>
      </w:r>
      <w:r w:rsidRPr="00BA640D">
        <w:rPr>
          <w:b/>
          <w:u w:val="single"/>
        </w:rPr>
        <w:t>:</w:t>
      </w:r>
      <w:r w:rsidRPr="00BA640D">
        <w:t xml:space="preserve">  A non-exempt employee at Tanana Valley Campus was non-retained p</w:t>
      </w:r>
      <w:r w:rsidR="00C3180B" w:rsidRPr="00BA640D">
        <w:t>ursuant to Regents’ Policy and U</w:t>
      </w:r>
      <w:r w:rsidRPr="00BA640D">
        <w:t xml:space="preserve">niversity Regulation.  The employee grieved the issue and requested a hearing.  After motion practice, the hearing officer issued a dispositive order on </w:t>
      </w:r>
      <w:r w:rsidR="006E270F" w:rsidRPr="00BA640D">
        <w:t>September 21, 2008</w:t>
      </w:r>
      <w:r w:rsidR="00482267" w:rsidRPr="00BA640D">
        <w:t>,</w:t>
      </w:r>
      <w:r w:rsidRPr="00BA640D">
        <w:t xml:space="preserve"> canceling the hearing and recommending that the UAF Chancellor uphold the non-retention decision.  The employee filed suit in Superior Court chal</w:t>
      </w:r>
      <w:r w:rsidR="00C3180B" w:rsidRPr="00BA640D">
        <w:t>lenging the u</w:t>
      </w:r>
      <w:r w:rsidRPr="00BA640D">
        <w:t xml:space="preserve">niversity’s </w:t>
      </w:r>
      <w:r w:rsidR="00E70C9D">
        <w:t xml:space="preserve">right to </w:t>
      </w:r>
      <w:proofErr w:type="spellStart"/>
      <w:r w:rsidR="00E70C9D">
        <w:t>nonretain</w:t>
      </w:r>
      <w:proofErr w:type="spellEnd"/>
      <w:r w:rsidR="00E70C9D">
        <w:t xml:space="preserve"> non-probationary employees</w:t>
      </w:r>
      <w:r w:rsidRPr="00BA640D">
        <w:t xml:space="preserve">.  </w:t>
      </w:r>
      <w:r w:rsidR="008056CD" w:rsidRPr="00BA640D">
        <w:t>The judge issued a preliminary order adverse to the university.</w:t>
      </w:r>
      <w:r w:rsidR="004C22BB" w:rsidRPr="00BA640D">
        <w:t xml:space="preserve">  The university</w:t>
      </w:r>
      <w:r w:rsidR="00802D41" w:rsidRPr="00BA640D">
        <w:t>’s request for reconsideration was denied and the university subsequently filed a petition for review with the Alaska Supreme Court on November 12, 2010.</w:t>
      </w:r>
      <w:r w:rsidR="00893E40" w:rsidRPr="00BA640D">
        <w:t xml:space="preserve"> </w:t>
      </w:r>
      <w:r w:rsidR="00505021">
        <w:t xml:space="preserve"> The Court </w:t>
      </w:r>
      <w:r w:rsidR="00932D10">
        <w:t>accepted</w:t>
      </w:r>
      <w:r w:rsidR="00505021">
        <w:t xml:space="preserve"> the petition and consolidated th</w:t>
      </w:r>
      <w:r w:rsidR="00E70C9D">
        <w:t>i</w:t>
      </w:r>
      <w:r w:rsidR="00505021">
        <w:t>s case with an Anchorage case raising similar issues but with a different result.</w:t>
      </w:r>
      <w:r w:rsidR="00E70C9D">
        <w:t xml:space="preserve">  Oral argument is set for March 28, 2012.</w:t>
      </w:r>
    </w:p>
    <w:p w:rsidR="00331C47" w:rsidRPr="00BA640D" w:rsidRDefault="00331C47" w:rsidP="00F265D2">
      <w:pPr>
        <w:ind w:left="720"/>
        <w:jc w:val="both"/>
      </w:pPr>
    </w:p>
    <w:p w:rsidR="008056CD" w:rsidRDefault="00F265D2" w:rsidP="00117A0B">
      <w:pPr>
        <w:numPr>
          <w:ilvl w:val="0"/>
          <w:numId w:val="2"/>
        </w:numPr>
      </w:pPr>
      <w:r w:rsidRPr="00CE0B7A">
        <w:rPr>
          <w:b/>
          <w:u w:val="single"/>
        </w:rPr>
        <w:t>UAA Police Department</w:t>
      </w:r>
      <w:r w:rsidRPr="00CE0B7A">
        <w:rPr>
          <w:u w:val="single"/>
        </w:rPr>
        <w:t>:</w:t>
      </w:r>
      <w:r w:rsidRPr="00BA640D">
        <w:t xml:space="preserve">  An employee was terminated for cause and simultaneously </w:t>
      </w:r>
      <w:r w:rsidR="001D5BA2" w:rsidRPr="00BA640D">
        <w:t>issued a non-retention notice</w:t>
      </w:r>
      <w:r w:rsidR="00932D10">
        <w:t xml:space="preserve"> after writing himself parking tickets which he later destroyed to avoid paying parking fees</w:t>
      </w:r>
      <w:r w:rsidRPr="00BA640D">
        <w:t xml:space="preserve">.  The employee filed a grievance, and a hearing was held in March.  The hearing officer recommended upholding the termination and the chancellor agreed.  The employee filed an administrative appeal on </w:t>
      </w:r>
      <w:r w:rsidR="006E270F" w:rsidRPr="00BA640D">
        <w:t>July 21, 20</w:t>
      </w:r>
      <w:r w:rsidRPr="00BA640D">
        <w:t>09</w:t>
      </w:r>
      <w:r w:rsidR="008056CD" w:rsidRPr="00BA640D">
        <w:t xml:space="preserve">. </w:t>
      </w:r>
      <w:r w:rsidR="00F315FD" w:rsidRPr="00BA640D">
        <w:t xml:space="preserve"> </w:t>
      </w:r>
      <w:r w:rsidR="008056CD" w:rsidRPr="00BA640D">
        <w:t>The judge reversed the cause termination but upheld the non</w:t>
      </w:r>
      <w:r w:rsidR="00F315FD" w:rsidRPr="00BA640D">
        <w:t>-</w:t>
      </w:r>
      <w:r w:rsidR="008056CD" w:rsidRPr="00BA640D">
        <w:t>retention.</w:t>
      </w:r>
      <w:r w:rsidR="00C742BC" w:rsidRPr="00BA640D">
        <w:t xml:space="preserve"> </w:t>
      </w:r>
      <w:r w:rsidR="0020067D" w:rsidRPr="00BA640D">
        <w:t xml:space="preserve"> </w:t>
      </w:r>
      <w:r w:rsidR="00117A0B" w:rsidRPr="00BA640D">
        <w:t xml:space="preserve">The employee </w:t>
      </w:r>
      <w:r w:rsidR="0020067D" w:rsidRPr="00BA640D">
        <w:t>submitted a request for rehearing which was denied by the judge.  The</w:t>
      </w:r>
      <w:r w:rsidR="00117A0B" w:rsidRPr="00BA640D">
        <w:t xml:space="preserve"> employee</w:t>
      </w:r>
      <w:r w:rsidR="00BB3F52" w:rsidRPr="00BA640D">
        <w:t xml:space="preserve"> </w:t>
      </w:r>
      <w:r w:rsidR="0020067D" w:rsidRPr="00BA640D">
        <w:t xml:space="preserve">has appealed </w:t>
      </w:r>
      <w:r w:rsidR="00BB3F52" w:rsidRPr="00BA640D">
        <w:t xml:space="preserve">the matter </w:t>
      </w:r>
      <w:r w:rsidR="0020067D" w:rsidRPr="00BA640D">
        <w:t>to the Alaska Supreme Court</w:t>
      </w:r>
      <w:r w:rsidR="00932D10">
        <w:t>, and the University cross appealed on the termination for cause</w:t>
      </w:r>
      <w:r w:rsidR="0020067D" w:rsidRPr="00BA640D">
        <w:t>.</w:t>
      </w:r>
      <w:r w:rsidR="009953D4" w:rsidRPr="00BA640D">
        <w:t xml:space="preserve"> </w:t>
      </w:r>
      <w:r w:rsidR="006B347F" w:rsidRPr="00BA640D">
        <w:t xml:space="preserve"> </w:t>
      </w:r>
      <w:r w:rsidR="00E70C9D">
        <w:t xml:space="preserve">This case has been consolidated </w:t>
      </w:r>
      <w:r w:rsidR="00932D10">
        <w:t xml:space="preserve">for hearing with the Fairbanks case discussed above.  </w:t>
      </w:r>
      <w:r w:rsidR="00893E40" w:rsidRPr="00BA640D">
        <w:t xml:space="preserve"> </w:t>
      </w:r>
      <w:r w:rsidR="00932D10">
        <w:t>Oral argument is set for March 28, 2012.</w:t>
      </w:r>
    </w:p>
    <w:sectPr w:rsidR="008056CD" w:rsidSect="00BD1BEB">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39A" w:rsidRDefault="0016739A" w:rsidP="00294EF8">
      <w:r>
        <w:separator/>
      </w:r>
    </w:p>
  </w:endnote>
  <w:endnote w:type="continuationSeparator" w:id="0">
    <w:p w:rsidR="0016739A" w:rsidRDefault="0016739A" w:rsidP="00294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5AA" w:rsidRDefault="007A75AA" w:rsidP="00A754A5">
    <w:pPr>
      <w:pStyle w:val="Footer"/>
      <w:tabs>
        <w:tab w:val="clear" w:pos="9360"/>
        <w:tab w:val="right" w:pos="8640"/>
      </w:tabs>
      <w:rPr>
        <w:b/>
      </w:rPr>
    </w:pPr>
    <w:r>
      <w:t>April 2012 Labor Report</w:t>
    </w:r>
    <w:r>
      <w:tab/>
    </w:r>
    <w:r>
      <w:tab/>
      <w:t xml:space="preserve">Page </w:t>
    </w:r>
    <w:r w:rsidR="00567AC4">
      <w:fldChar w:fldCharType="begin"/>
    </w:r>
    <w:r>
      <w:instrText xml:space="preserve"> PAGE </w:instrText>
    </w:r>
    <w:r w:rsidR="00567AC4">
      <w:fldChar w:fldCharType="separate"/>
    </w:r>
    <w:r w:rsidR="001A7513">
      <w:rPr>
        <w:noProof/>
      </w:rPr>
      <w:t>1</w:t>
    </w:r>
    <w:r w:rsidR="00567AC4">
      <w:rPr>
        <w:noProof/>
      </w:rPr>
      <w:fldChar w:fldCharType="end"/>
    </w:r>
    <w:r w:rsidRPr="00E83836">
      <w:t xml:space="preserve"> of </w:t>
    </w:r>
    <w:r w:rsidR="00CE0B7A">
      <w:t>4</w:t>
    </w:r>
  </w:p>
  <w:p w:rsidR="007A75AA" w:rsidRDefault="007A75AA" w:rsidP="00F811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39A" w:rsidRDefault="0016739A" w:rsidP="00294EF8">
      <w:r>
        <w:separator/>
      </w:r>
    </w:p>
  </w:footnote>
  <w:footnote w:type="continuationSeparator" w:id="0">
    <w:p w:rsidR="0016739A" w:rsidRDefault="0016739A" w:rsidP="00294E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5AA" w:rsidRDefault="007A75AA" w:rsidP="00294EF8">
    <w:pPr>
      <w:pStyle w:val="Header"/>
      <w:jc w:val="center"/>
      <w:rPr>
        <w:b/>
      </w:rPr>
    </w:pPr>
    <w:r>
      <w:rPr>
        <w:b/>
      </w:rPr>
      <w:t>UNIVERSITY OF ALASKA</w:t>
    </w:r>
  </w:p>
  <w:p w:rsidR="007A75AA" w:rsidRDefault="007A75AA" w:rsidP="00294EF8">
    <w:pPr>
      <w:pStyle w:val="Header"/>
      <w:jc w:val="center"/>
      <w:rPr>
        <w:b/>
      </w:rPr>
    </w:pPr>
    <w:r>
      <w:rPr>
        <w:b/>
      </w:rPr>
      <w:t>LABOR and EMPLOYEE RELATIONS REPORT</w:t>
    </w:r>
  </w:p>
  <w:p w:rsidR="007A75AA" w:rsidRDefault="007A75AA" w:rsidP="00294EF8">
    <w:pPr>
      <w:pStyle w:val="Header"/>
      <w:jc w:val="center"/>
      <w:rPr>
        <w:b/>
      </w:rPr>
    </w:pPr>
  </w:p>
  <w:p w:rsidR="007A75AA" w:rsidRPr="00294EF8" w:rsidRDefault="007A75AA" w:rsidP="00294EF8">
    <w:pPr>
      <w:pStyle w:val="Header"/>
      <w:jc w:val="center"/>
      <w:rPr>
        <w:b/>
      </w:rPr>
    </w:pPr>
    <w:r>
      <w:rPr>
        <w:b/>
      </w:rPr>
      <w:t>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4532D"/>
    <w:multiLevelType w:val="hybridMultilevel"/>
    <w:tmpl w:val="5A6C7B5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DC32A8A"/>
    <w:multiLevelType w:val="hybridMultilevel"/>
    <w:tmpl w:val="CE8C4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FA75B3"/>
    <w:multiLevelType w:val="hybridMultilevel"/>
    <w:tmpl w:val="625A8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C75464"/>
    <w:multiLevelType w:val="hybridMultilevel"/>
    <w:tmpl w:val="42EA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A26692"/>
    <w:multiLevelType w:val="hybridMultilevel"/>
    <w:tmpl w:val="90C458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14559F"/>
    <w:multiLevelType w:val="hybridMultilevel"/>
    <w:tmpl w:val="5B509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022626"/>
    <w:multiLevelType w:val="hybridMultilevel"/>
    <w:tmpl w:val="5792E7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2150449"/>
    <w:multiLevelType w:val="hybridMultilevel"/>
    <w:tmpl w:val="29064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1D1E1D"/>
    <w:multiLevelType w:val="hybridMultilevel"/>
    <w:tmpl w:val="DAC669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614252E"/>
    <w:multiLevelType w:val="hybridMultilevel"/>
    <w:tmpl w:val="15582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E22D73"/>
    <w:multiLevelType w:val="hybridMultilevel"/>
    <w:tmpl w:val="C01467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0"/>
  </w:num>
  <w:num w:numId="4">
    <w:abstractNumId w:val="1"/>
  </w:num>
  <w:num w:numId="5">
    <w:abstractNumId w:val="4"/>
  </w:num>
  <w:num w:numId="6">
    <w:abstractNumId w:val="6"/>
  </w:num>
  <w:num w:numId="7">
    <w:abstractNumId w:val="3"/>
  </w:num>
  <w:num w:numId="8">
    <w:abstractNumId w:val="9"/>
  </w:num>
  <w:num w:numId="9">
    <w:abstractNumId w:val="2"/>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EF8"/>
    <w:rsid w:val="00004A7B"/>
    <w:rsid w:val="00007591"/>
    <w:rsid w:val="00012377"/>
    <w:rsid w:val="0001636F"/>
    <w:rsid w:val="00017675"/>
    <w:rsid w:val="000245D6"/>
    <w:rsid w:val="000260EA"/>
    <w:rsid w:val="00030890"/>
    <w:rsid w:val="0003123F"/>
    <w:rsid w:val="00032CCE"/>
    <w:rsid w:val="000358FF"/>
    <w:rsid w:val="00042410"/>
    <w:rsid w:val="000501E7"/>
    <w:rsid w:val="00053329"/>
    <w:rsid w:val="000552CE"/>
    <w:rsid w:val="00057D7E"/>
    <w:rsid w:val="00073428"/>
    <w:rsid w:val="00077453"/>
    <w:rsid w:val="00092484"/>
    <w:rsid w:val="00092D86"/>
    <w:rsid w:val="0009315B"/>
    <w:rsid w:val="00094287"/>
    <w:rsid w:val="000A0AD7"/>
    <w:rsid w:val="000A1257"/>
    <w:rsid w:val="000A2376"/>
    <w:rsid w:val="000A2EB0"/>
    <w:rsid w:val="000B7B35"/>
    <w:rsid w:val="000C50CF"/>
    <w:rsid w:val="000D4EFA"/>
    <w:rsid w:val="000E2FE6"/>
    <w:rsid w:val="000E7445"/>
    <w:rsid w:val="000F0D92"/>
    <w:rsid w:val="000F6EFF"/>
    <w:rsid w:val="0011280D"/>
    <w:rsid w:val="0011508A"/>
    <w:rsid w:val="00115112"/>
    <w:rsid w:val="00117A0B"/>
    <w:rsid w:val="0013122D"/>
    <w:rsid w:val="0013623E"/>
    <w:rsid w:val="00141364"/>
    <w:rsid w:val="0014394B"/>
    <w:rsid w:val="00146193"/>
    <w:rsid w:val="00156771"/>
    <w:rsid w:val="00156966"/>
    <w:rsid w:val="00157F8E"/>
    <w:rsid w:val="001614EF"/>
    <w:rsid w:val="001651B3"/>
    <w:rsid w:val="0016739A"/>
    <w:rsid w:val="0018252B"/>
    <w:rsid w:val="00184045"/>
    <w:rsid w:val="001A4A77"/>
    <w:rsid w:val="001A7513"/>
    <w:rsid w:val="001B1144"/>
    <w:rsid w:val="001B3E88"/>
    <w:rsid w:val="001B47F4"/>
    <w:rsid w:val="001B651B"/>
    <w:rsid w:val="001C3A57"/>
    <w:rsid w:val="001D5BA2"/>
    <w:rsid w:val="001E7362"/>
    <w:rsid w:val="001F7F47"/>
    <w:rsid w:val="0020067D"/>
    <w:rsid w:val="002015EE"/>
    <w:rsid w:val="00202C4C"/>
    <w:rsid w:val="002032FF"/>
    <w:rsid w:val="00206C0B"/>
    <w:rsid w:val="00211D71"/>
    <w:rsid w:val="002135F5"/>
    <w:rsid w:val="00214210"/>
    <w:rsid w:val="00215C4E"/>
    <w:rsid w:val="00222CEF"/>
    <w:rsid w:val="002255FA"/>
    <w:rsid w:val="002323B3"/>
    <w:rsid w:val="00232F69"/>
    <w:rsid w:val="00241F49"/>
    <w:rsid w:val="00242A6D"/>
    <w:rsid w:val="00243D8F"/>
    <w:rsid w:val="00244A77"/>
    <w:rsid w:val="00252D90"/>
    <w:rsid w:val="0025418B"/>
    <w:rsid w:val="00261F7F"/>
    <w:rsid w:val="0027033B"/>
    <w:rsid w:val="0028529B"/>
    <w:rsid w:val="00285B96"/>
    <w:rsid w:val="002878F2"/>
    <w:rsid w:val="00294CB8"/>
    <w:rsid w:val="00294EF8"/>
    <w:rsid w:val="0029556D"/>
    <w:rsid w:val="002A04D3"/>
    <w:rsid w:val="002B1A8D"/>
    <w:rsid w:val="002B76BE"/>
    <w:rsid w:val="002C2A44"/>
    <w:rsid w:val="002C576B"/>
    <w:rsid w:val="002D082B"/>
    <w:rsid w:val="002D4E62"/>
    <w:rsid w:val="002D7CB2"/>
    <w:rsid w:val="002E27BB"/>
    <w:rsid w:val="002F733F"/>
    <w:rsid w:val="00305A31"/>
    <w:rsid w:val="00310538"/>
    <w:rsid w:val="00314F22"/>
    <w:rsid w:val="00320149"/>
    <w:rsid w:val="003255E6"/>
    <w:rsid w:val="00325678"/>
    <w:rsid w:val="00331C47"/>
    <w:rsid w:val="00341845"/>
    <w:rsid w:val="003465A2"/>
    <w:rsid w:val="00347AB1"/>
    <w:rsid w:val="00350ECB"/>
    <w:rsid w:val="00351160"/>
    <w:rsid w:val="00351C5D"/>
    <w:rsid w:val="00352F71"/>
    <w:rsid w:val="00360965"/>
    <w:rsid w:val="00363347"/>
    <w:rsid w:val="003705C8"/>
    <w:rsid w:val="003828BE"/>
    <w:rsid w:val="00384914"/>
    <w:rsid w:val="003A1371"/>
    <w:rsid w:val="003A2128"/>
    <w:rsid w:val="003A2563"/>
    <w:rsid w:val="003A4CB2"/>
    <w:rsid w:val="003A59B0"/>
    <w:rsid w:val="003B1312"/>
    <w:rsid w:val="003C42E8"/>
    <w:rsid w:val="003D2BAB"/>
    <w:rsid w:val="003E465B"/>
    <w:rsid w:val="003E5F25"/>
    <w:rsid w:val="00431DF5"/>
    <w:rsid w:val="004423EF"/>
    <w:rsid w:val="0045470F"/>
    <w:rsid w:val="00456E52"/>
    <w:rsid w:val="00465FA8"/>
    <w:rsid w:val="00466106"/>
    <w:rsid w:val="004679CE"/>
    <w:rsid w:val="00470FAF"/>
    <w:rsid w:val="0047388B"/>
    <w:rsid w:val="0047673A"/>
    <w:rsid w:val="004771F4"/>
    <w:rsid w:val="00482267"/>
    <w:rsid w:val="00491A48"/>
    <w:rsid w:val="004926B1"/>
    <w:rsid w:val="00494910"/>
    <w:rsid w:val="004954B1"/>
    <w:rsid w:val="004A2B75"/>
    <w:rsid w:val="004A5786"/>
    <w:rsid w:val="004B1957"/>
    <w:rsid w:val="004B516E"/>
    <w:rsid w:val="004B6811"/>
    <w:rsid w:val="004C16AF"/>
    <w:rsid w:val="004C22BB"/>
    <w:rsid w:val="004C613E"/>
    <w:rsid w:val="004D0324"/>
    <w:rsid w:val="004E4682"/>
    <w:rsid w:val="004E6F19"/>
    <w:rsid w:val="004F3A2E"/>
    <w:rsid w:val="00501972"/>
    <w:rsid w:val="00503986"/>
    <w:rsid w:val="00503E18"/>
    <w:rsid w:val="00505021"/>
    <w:rsid w:val="00512EE1"/>
    <w:rsid w:val="00515F01"/>
    <w:rsid w:val="005161F4"/>
    <w:rsid w:val="0052003B"/>
    <w:rsid w:val="00523CE1"/>
    <w:rsid w:val="00530C41"/>
    <w:rsid w:val="00541767"/>
    <w:rsid w:val="00543DFC"/>
    <w:rsid w:val="00547F42"/>
    <w:rsid w:val="00550F1D"/>
    <w:rsid w:val="00552885"/>
    <w:rsid w:val="00553DE6"/>
    <w:rsid w:val="00553FF9"/>
    <w:rsid w:val="00554F45"/>
    <w:rsid w:val="0056034D"/>
    <w:rsid w:val="00561EA9"/>
    <w:rsid w:val="00562265"/>
    <w:rsid w:val="00564801"/>
    <w:rsid w:val="00567AC4"/>
    <w:rsid w:val="005770D8"/>
    <w:rsid w:val="005811F0"/>
    <w:rsid w:val="00586B82"/>
    <w:rsid w:val="00586DFA"/>
    <w:rsid w:val="00594AE5"/>
    <w:rsid w:val="005A093B"/>
    <w:rsid w:val="005A2234"/>
    <w:rsid w:val="005A55DD"/>
    <w:rsid w:val="005A7790"/>
    <w:rsid w:val="005A7D1C"/>
    <w:rsid w:val="005B4CEA"/>
    <w:rsid w:val="005B6037"/>
    <w:rsid w:val="005C519F"/>
    <w:rsid w:val="005C7DF9"/>
    <w:rsid w:val="005D2C72"/>
    <w:rsid w:val="005E11E0"/>
    <w:rsid w:val="005E453A"/>
    <w:rsid w:val="005E63BE"/>
    <w:rsid w:val="005F0CE3"/>
    <w:rsid w:val="005F3D20"/>
    <w:rsid w:val="005F3D79"/>
    <w:rsid w:val="005F77CE"/>
    <w:rsid w:val="005F7ADC"/>
    <w:rsid w:val="0060352A"/>
    <w:rsid w:val="00605687"/>
    <w:rsid w:val="00614928"/>
    <w:rsid w:val="00615DEE"/>
    <w:rsid w:val="00621D10"/>
    <w:rsid w:val="00621FD2"/>
    <w:rsid w:val="006241F7"/>
    <w:rsid w:val="0063011B"/>
    <w:rsid w:val="00631275"/>
    <w:rsid w:val="0063145E"/>
    <w:rsid w:val="00631868"/>
    <w:rsid w:val="00640117"/>
    <w:rsid w:val="0064474E"/>
    <w:rsid w:val="006579F4"/>
    <w:rsid w:val="00664F57"/>
    <w:rsid w:val="00673EF4"/>
    <w:rsid w:val="006808D7"/>
    <w:rsid w:val="00683406"/>
    <w:rsid w:val="00686967"/>
    <w:rsid w:val="00694AFE"/>
    <w:rsid w:val="00697359"/>
    <w:rsid w:val="00697931"/>
    <w:rsid w:val="00697A0F"/>
    <w:rsid w:val="006A7A94"/>
    <w:rsid w:val="006A7F39"/>
    <w:rsid w:val="006B04C3"/>
    <w:rsid w:val="006B347F"/>
    <w:rsid w:val="006B47F2"/>
    <w:rsid w:val="006B6E77"/>
    <w:rsid w:val="006B7E1C"/>
    <w:rsid w:val="006C2071"/>
    <w:rsid w:val="006C6C51"/>
    <w:rsid w:val="006C793A"/>
    <w:rsid w:val="006E270F"/>
    <w:rsid w:val="006E2CB9"/>
    <w:rsid w:val="006E3A3B"/>
    <w:rsid w:val="006E5454"/>
    <w:rsid w:val="006F0720"/>
    <w:rsid w:val="006F7415"/>
    <w:rsid w:val="00717826"/>
    <w:rsid w:val="00737284"/>
    <w:rsid w:val="00747F33"/>
    <w:rsid w:val="00754F5D"/>
    <w:rsid w:val="00760913"/>
    <w:rsid w:val="00760C35"/>
    <w:rsid w:val="00762C9A"/>
    <w:rsid w:val="00764DCC"/>
    <w:rsid w:val="00781B60"/>
    <w:rsid w:val="00794A73"/>
    <w:rsid w:val="007A3433"/>
    <w:rsid w:val="007A7277"/>
    <w:rsid w:val="007A75AA"/>
    <w:rsid w:val="007B07DF"/>
    <w:rsid w:val="007B0EFC"/>
    <w:rsid w:val="007B2391"/>
    <w:rsid w:val="007B4E52"/>
    <w:rsid w:val="007C07CE"/>
    <w:rsid w:val="007C1244"/>
    <w:rsid w:val="007C47CF"/>
    <w:rsid w:val="007D3340"/>
    <w:rsid w:val="007E07E0"/>
    <w:rsid w:val="007E4A89"/>
    <w:rsid w:val="007E5CFF"/>
    <w:rsid w:val="007E5E76"/>
    <w:rsid w:val="007F0B85"/>
    <w:rsid w:val="007F37C6"/>
    <w:rsid w:val="007F3D5B"/>
    <w:rsid w:val="007F4CE8"/>
    <w:rsid w:val="007F7892"/>
    <w:rsid w:val="0080181D"/>
    <w:rsid w:val="00802D41"/>
    <w:rsid w:val="008056CD"/>
    <w:rsid w:val="00805F22"/>
    <w:rsid w:val="00810F72"/>
    <w:rsid w:val="00811586"/>
    <w:rsid w:val="00821854"/>
    <w:rsid w:val="008232D3"/>
    <w:rsid w:val="0082513E"/>
    <w:rsid w:val="0082610E"/>
    <w:rsid w:val="008346E2"/>
    <w:rsid w:val="008361E3"/>
    <w:rsid w:val="0083715E"/>
    <w:rsid w:val="00841EC1"/>
    <w:rsid w:val="00843814"/>
    <w:rsid w:val="00843C38"/>
    <w:rsid w:val="0084737F"/>
    <w:rsid w:val="00847DA4"/>
    <w:rsid w:val="008622EF"/>
    <w:rsid w:val="0089209E"/>
    <w:rsid w:val="00893E40"/>
    <w:rsid w:val="00893F48"/>
    <w:rsid w:val="00895026"/>
    <w:rsid w:val="008A02E3"/>
    <w:rsid w:val="008A0402"/>
    <w:rsid w:val="008A216A"/>
    <w:rsid w:val="008A489D"/>
    <w:rsid w:val="008A4A7B"/>
    <w:rsid w:val="008B6649"/>
    <w:rsid w:val="008C0F06"/>
    <w:rsid w:val="008C0F23"/>
    <w:rsid w:val="008C2366"/>
    <w:rsid w:val="008C5525"/>
    <w:rsid w:val="008E7370"/>
    <w:rsid w:val="008E779B"/>
    <w:rsid w:val="008F01A2"/>
    <w:rsid w:val="008F1F54"/>
    <w:rsid w:val="008F711D"/>
    <w:rsid w:val="008F7FD0"/>
    <w:rsid w:val="009025A8"/>
    <w:rsid w:val="009103BA"/>
    <w:rsid w:val="0091258F"/>
    <w:rsid w:val="009250C5"/>
    <w:rsid w:val="0093284B"/>
    <w:rsid w:val="00932A28"/>
    <w:rsid w:val="00932D10"/>
    <w:rsid w:val="00940BA7"/>
    <w:rsid w:val="00943F6F"/>
    <w:rsid w:val="0094768C"/>
    <w:rsid w:val="009529F1"/>
    <w:rsid w:val="00973486"/>
    <w:rsid w:val="00975564"/>
    <w:rsid w:val="00993012"/>
    <w:rsid w:val="009953D4"/>
    <w:rsid w:val="00995F16"/>
    <w:rsid w:val="009970C3"/>
    <w:rsid w:val="00997A6B"/>
    <w:rsid w:val="009A20A1"/>
    <w:rsid w:val="009A645F"/>
    <w:rsid w:val="009A7698"/>
    <w:rsid w:val="009B3C21"/>
    <w:rsid w:val="009B52F5"/>
    <w:rsid w:val="009C5DAE"/>
    <w:rsid w:val="009D0885"/>
    <w:rsid w:val="009D3949"/>
    <w:rsid w:val="009D4D54"/>
    <w:rsid w:val="009D5CFB"/>
    <w:rsid w:val="009E05AB"/>
    <w:rsid w:val="009E4A4A"/>
    <w:rsid w:val="009E6CDC"/>
    <w:rsid w:val="009E7A6F"/>
    <w:rsid w:val="009F250B"/>
    <w:rsid w:val="009F4929"/>
    <w:rsid w:val="00A009B1"/>
    <w:rsid w:val="00A077C1"/>
    <w:rsid w:val="00A11E73"/>
    <w:rsid w:val="00A20E6D"/>
    <w:rsid w:val="00A26D95"/>
    <w:rsid w:val="00A27854"/>
    <w:rsid w:val="00A31152"/>
    <w:rsid w:val="00A347C2"/>
    <w:rsid w:val="00A37E01"/>
    <w:rsid w:val="00A46BDC"/>
    <w:rsid w:val="00A51285"/>
    <w:rsid w:val="00A550C9"/>
    <w:rsid w:val="00A71B76"/>
    <w:rsid w:val="00A754A5"/>
    <w:rsid w:val="00A86C55"/>
    <w:rsid w:val="00A87ABF"/>
    <w:rsid w:val="00A9009E"/>
    <w:rsid w:val="00A93049"/>
    <w:rsid w:val="00AA0939"/>
    <w:rsid w:val="00AA3CF8"/>
    <w:rsid w:val="00AA4162"/>
    <w:rsid w:val="00AB2E53"/>
    <w:rsid w:val="00AB4BCD"/>
    <w:rsid w:val="00AC48DE"/>
    <w:rsid w:val="00AD1881"/>
    <w:rsid w:val="00AD2BA6"/>
    <w:rsid w:val="00AD75E6"/>
    <w:rsid w:val="00AE332A"/>
    <w:rsid w:val="00AE33BC"/>
    <w:rsid w:val="00AE33D8"/>
    <w:rsid w:val="00AE60F5"/>
    <w:rsid w:val="00AE7F7B"/>
    <w:rsid w:val="00AF05F3"/>
    <w:rsid w:val="00AF182C"/>
    <w:rsid w:val="00AF2813"/>
    <w:rsid w:val="00AF4B84"/>
    <w:rsid w:val="00AF548B"/>
    <w:rsid w:val="00AF641B"/>
    <w:rsid w:val="00AF6ED4"/>
    <w:rsid w:val="00B005F6"/>
    <w:rsid w:val="00B01458"/>
    <w:rsid w:val="00B01B85"/>
    <w:rsid w:val="00B14490"/>
    <w:rsid w:val="00B14BAF"/>
    <w:rsid w:val="00B1612B"/>
    <w:rsid w:val="00B20388"/>
    <w:rsid w:val="00B2643E"/>
    <w:rsid w:val="00B31C67"/>
    <w:rsid w:val="00B32E15"/>
    <w:rsid w:val="00B337D0"/>
    <w:rsid w:val="00B404D1"/>
    <w:rsid w:val="00B461ED"/>
    <w:rsid w:val="00B47DED"/>
    <w:rsid w:val="00B5361D"/>
    <w:rsid w:val="00B56A60"/>
    <w:rsid w:val="00B579D8"/>
    <w:rsid w:val="00B57FF9"/>
    <w:rsid w:val="00B738FA"/>
    <w:rsid w:val="00B741DA"/>
    <w:rsid w:val="00B7795A"/>
    <w:rsid w:val="00B812E3"/>
    <w:rsid w:val="00B874B8"/>
    <w:rsid w:val="00B875DF"/>
    <w:rsid w:val="00B921DA"/>
    <w:rsid w:val="00B92C28"/>
    <w:rsid w:val="00B93E3B"/>
    <w:rsid w:val="00B9798E"/>
    <w:rsid w:val="00B97BE6"/>
    <w:rsid w:val="00BA2642"/>
    <w:rsid w:val="00BA640D"/>
    <w:rsid w:val="00BB0BD8"/>
    <w:rsid w:val="00BB1A99"/>
    <w:rsid w:val="00BB3F52"/>
    <w:rsid w:val="00BC1A7C"/>
    <w:rsid w:val="00BC1DD2"/>
    <w:rsid w:val="00BC3992"/>
    <w:rsid w:val="00BC60A2"/>
    <w:rsid w:val="00BC635F"/>
    <w:rsid w:val="00BC731E"/>
    <w:rsid w:val="00BD1BEB"/>
    <w:rsid w:val="00BD6A6A"/>
    <w:rsid w:val="00BF05F1"/>
    <w:rsid w:val="00BF09DE"/>
    <w:rsid w:val="00BF3D0B"/>
    <w:rsid w:val="00BF3FB2"/>
    <w:rsid w:val="00BF6B1C"/>
    <w:rsid w:val="00BF7F31"/>
    <w:rsid w:val="00C017E1"/>
    <w:rsid w:val="00C215B8"/>
    <w:rsid w:val="00C3180B"/>
    <w:rsid w:val="00C327CF"/>
    <w:rsid w:val="00C32CAA"/>
    <w:rsid w:val="00C34DFC"/>
    <w:rsid w:val="00C47D36"/>
    <w:rsid w:val="00C52B62"/>
    <w:rsid w:val="00C60FCF"/>
    <w:rsid w:val="00C619AD"/>
    <w:rsid w:val="00C65C19"/>
    <w:rsid w:val="00C67BAF"/>
    <w:rsid w:val="00C72892"/>
    <w:rsid w:val="00C742BC"/>
    <w:rsid w:val="00C81E81"/>
    <w:rsid w:val="00C8216C"/>
    <w:rsid w:val="00C91940"/>
    <w:rsid w:val="00C92B5A"/>
    <w:rsid w:val="00C95930"/>
    <w:rsid w:val="00CA05D3"/>
    <w:rsid w:val="00CA2DD7"/>
    <w:rsid w:val="00CA3880"/>
    <w:rsid w:val="00CA4E59"/>
    <w:rsid w:val="00CA6D99"/>
    <w:rsid w:val="00CB4ED4"/>
    <w:rsid w:val="00CB7444"/>
    <w:rsid w:val="00CB7B7F"/>
    <w:rsid w:val="00CC7083"/>
    <w:rsid w:val="00CD1A1C"/>
    <w:rsid w:val="00CD1B7F"/>
    <w:rsid w:val="00CE0B7A"/>
    <w:rsid w:val="00CE27D8"/>
    <w:rsid w:val="00CE3104"/>
    <w:rsid w:val="00CE5C3C"/>
    <w:rsid w:val="00CE6B17"/>
    <w:rsid w:val="00CF55FD"/>
    <w:rsid w:val="00D02252"/>
    <w:rsid w:val="00D0378E"/>
    <w:rsid w:val="00D12B24"/>
    <w:rsid w:val="00D15625"/>
    <w:rsid w:val="00D17EEB"/>
    <w:rsid w:val="00D22CB5"/>
    <w:rsid w:val="00D22CBD"/>
    <w:rsid w:val="00D233A1"/>
    <w:rsid w:val="00D23C16"/>
    <w:rsid w:val="00D23CD0"/>
    <w:rsid w:val="00D31DD8"/>
    <w:rsid w:val="00D35B1A"/>
    <w:rsid w:val="00D4274F"/>
    <w:rsid w:val="00D47ADB"/>
    <w:rsid w:val="00D50C42"/>
    <w:rsid w:val="00D55F9F"/>
    <w:rsid w:val="00D571E6"/>
    <w:rsid w:val="00D616D9"/>
    <w:rsid w:val="00D75167"/>
    <w:rsid w:val="00D77BEA"/>
    <w:rsid w:val="00D80C17"/>
    <w:rsid w:val="00D84119"/>
    <w:rsid w:val="00DA53AC"/>
    <w:rsid w:val="00DA53EB"/>
    <w:rsid w:val="00DA54BA"/>
    <w:rsid w:val="00DA7E58"/>
    <w:rsid w:val="00DB57DC"/>
    <w:rsid w:val="00DB7D7F"/>
    <w:rsid w:val="00DC15BA"/>
    <w:rsid w:val="00DC653B"/>
    <w:rsid w:val="00DC7C5D"/>
    <w:rsid w:val="00DD1D86"/>
    <w:rsid w:val="00DD5912"/>
    <w:rsid w:val="00DE11DC"/>
    <w:rsid w:val="00DE74DA"/>
    <w:rsid w:val="00E0350A"/>
    <w:rsid w:val="00E060E3"/>
    <w:rsid w:val="00E10638"/>
    <w:rsid w:val="00E14960"/>
    <w:rsid w:val="00E34CD5"/>
    <w:rsid w:val="00E41B86"/>
    <w:rsid w:val="00E62D4E"/>
    <w:rsid w:val="00E65317"/>
    <w:rsid w:val="00E705D7"/>
    <w:rsid w:val="00E70C9D"/>
    <w:rsid w:val="00E7126F"/>
    <w:rsid w:val="00E73D22"/>
    <w:rsid w:val="00E83355"/>
    <w:rsid w:val="00E84A01"/>
    <w:rsid w:val="00E94632"/>
    <w:rsid w:val="00E95BEF"/>
    <w:rsid w:val="00EB23B6"/>
    <w:rsid w:val="00EB40FF"/>
    <w:rsid w:val="00EB437A"/>
    <w:rsid w:val="00EB5F9E"/>
    <w:rsid w:val="00ED4F61"/>
    <w:rsid w:val="00ED5A34"/>
    <w:rsid w:val="00EE059B"/>
    <w:rsid w:val="00EE4A9A"/>
    <w:rsid w:val="00EE5D30"/>
    <w:rsid w:val="00EF307A"/>
    <w:rsid w:val="00EF3290"/>
    <w:rsid w:val="00EF6E85"/>
    <w:rsid w:val="00EF738B"/>
    <w:rsid w:val="00F01A2F"/>
    <w:rsid w:val="00F01F37"/>
    <w:rsid w:val="00F02BC6"/>
    <w:rsid w:val="00F052D4"/>
    <w:rsid w:val="00F05B75"/>
    <w:rsid w:val="00F1179A"/>
    <w:rsid w:val="00F2359B"/>
    <w:rsid w:val="00F2592A"/>
    <w:rsid w:val="00F263FC"/>
    <w:rsid w:val="00F265D2"/>
    <w:rsid w:val="00F3012A"/>
    <w:rsid w:val="00F315FD"/>
    <w:rsid w:val="00F3269A"/>
    <w:rsid w:val="00F32B68"/>
    <w:rsid w:val="00F34F61"/>
    <w:rsid w:val="00F37C82"/>
    <w:rsid w:val="00F43D67"/>
    <w:rsid w:val="00F50C96"/>
    <w:rsid w:val="00F51B0F"/>
    <w:rsid w:val="00F56A3D"/>
    <w:rsid w:val="00F5756C"/>
    <w:rsid w:val="00F65761"/>
    <w:rsid w:val="00F6659E"/>
    <w:rsid w:val="00F67B95"/>
    <w:rsid w:val="00F710AB"/>
    <w:rsid w:val="00F73DDA"/>
    <w:rsid w:val="00F75841"/>
    <w:rsid w:val="00F76053"/>
    <w:rsid w:val="00F801F7"/>
    <w:rsid w:val="00F80CE7"/>
    <w:rsid w:val="00F8114A"/>
    <w:rsid w:val="00F81DEC"/>
    <w:rsid w:val="00F86E9E"/>
    <w:rsid w:val="00FA1056"/>
    <w:rsid w:val="00FA1311"/>
    <w:rsid w:val="00FA625B"/>
    <w:rsid w:val="00FB74F6"/>
    <w:rsid w:val="00FC76A3"/>
    <w:rsid w:val="00FD738A"/>
    <w:rsid w:val="00FD7C27"/>
    <w:rsid w:val="00FE04C5"/>
    <w:rsid w:val="00FF0494"/>
    <w:rsid w:val="00FF0D70"/>
    <w:rsid w:val="00FF7DB7"/>
    <w:rsid w:val="00FF7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1BEB"/>
    <w:rPr>
      <w:sz w:val="24"/>
      <w:szCs w:val="24"/>
    </w:rPr>
  </w:style>
  <w:style w:type="paragraph" w:styleId="Heading3">
    <w:name w:val="heading 3"/>
    <w:basedOn w:val="Normal"/>
    <w:next w:val="Normal"/>
    <w:link w:val="Heading3Char"/>
    <w:qFormat/>
    <w:rsid w:val="00A11E73"/>
    <w:pPr>
      <w:keepNext/>
      <w:jc w:val="both"/>
      <w:outlineLvl w:val="2"/>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94EF8"/>
    <w:pPr>
      <w:tabs>
        <w:tab w:val="center" w:pos="4680"/>
        <w:tab w:val="right" w:pos="9360"/>
      </w:tabs>
    </w:pPr>
  </w:style>
  <w:style w:type="character" w:customStyle="1" w:styleId="HeaderChar">
    <w:name w:val="Header Char"/>
    <w:link w:val="Header"/>
    <w:rsid w:val="00294EF8"/>
    <w:rPr>
      <w:sz w:val="24"/>
      <w:szCs w:val="24"/>
    </w:rPr>
  </w:style>
  <w:style w:type="paragraph" w:styleId="Footer">
    <w:name w:val="footer"/>
    <w:basedOn w:val="Normal"/>
    <w:link w:val="FooterChar"/>
    <w:rsid w:val="00294EF8"/>
    <w:pPr>
      <w:tabs>
        <w:tab w:val="center" w:pos="4680"/>
        <w:tab w:val="right" w:pos="9360"/>
      </w:tabs>
    </w:pPr>
  </w:style>
  <w:style w:type="character" w:customStyle="1" w:styleId="FooterChar">
    <w:name w:val="Footer Char"/>
    <w:link w:val="Footer"/>
    <w:rsid w:val="00294EF8"/>
    <w:rPr>
      <w:sz w:val="24"/>
      <w:szCs w:val="24"/>
    </w:rPr>
  </w:style>
  <w:style w:type="paragraph" w:styleId="HTMLPreformatted">
    <w:name w:val="HTML Preformatted"/>
    <w:basedOn w:val="Normal"/>
    <w:link w:val="HTMLPreformattedChar"/>
    <w:uiPriority w:val="99"/>
    <w:rsid w:val="00294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294EF8"/>
    <w:rPr>
      <w:rFonts w:ascii="Courier New" w:hAnsi="Courier New" w:cs="Courier New"/>
    </w:rPr>
  </w:style>
  <w:style w:type="paragraph" w:styleId="BalloonText">
    <w:name w:val="Balloon Text"/>
    <w:basedOn w:val="Normal"/>
    <w:link w:val="BalloonTextChar"/>
    <w:rsid w:val="00F8114A"/>
    <w:rPr>
      <w:rFonts w:ascii="Tahoma" w:hAnsi="Tahoma" w:cs="Tahoma"/>
      <w:sz w:val="16"/>
      <w:szCs w:val="16"/>
    </w:rPr>
  </w:style>
  <w:style w:type="character" w:customStyle="1" w:styleId="BalloonTextChar">
    <w:name w:val="Balloon Text Char"/>
    <w:link w:val="BalloonText"/>
    <w:rsid w:val="00F8114A"/>
    <w:rPr>
      <w:rFonts w:ascii="Tahoma" w:hAnsi="Tahoma" w:cs="Tahoma"/>
      <w:sz w:val="16"/>
      <w:szCs w:val="16"/>
    </w:rPr>
  </w:style>
  <w:style w:type="paragraph" w:styleId="ListParagraph">
    <w:name w:val="List Paragraph"/>
    <w:basedOn w:val="Normal"/>
    <w:qFormat/>
    <w:rsid w:val="00F8114A"/>
    <w:pPr>
      <w:ind w:left="720"/>
    </w:pPr>
    <w:rPr>
      <w:szCs w:val="20"/>
    </w:rPr>
  </w:style>
  <w:style w:type="character" w:customStyle="1" w:styleId="Heading3Char">
    <w:name w:val="Heading 3 Char"/>
    <w:link w:val="Heading3"/>
    <w:rsid w:val="00A11E73"/>
    <w:rPr>
      <w:sz w:val="24"/>
      <w:u w:val="single"/>
    </w:rPr>
  </w:style>
  <w:style w:type="paragraph" w:styleId="BodyText2">
    <w:name w:val="Body Text 2"/>
    <w:basedOn w:val="Normal"/>
    <w:link w:val="BodyText2Char"/>
    <w:rsid w:val="00A11E73"/>
    <w:pPr>
      <w:jc w:val="both"/>
    </w:pPr>
    <w:rPr>
      <w:b/>
      <w:bCs/>
      <w:szCs w:val="20"/>
    </w:rPr>
  </w:style>
  <w:style w:type="character" w:customStyle="1" w:styleId="BodyText2Char">
    <w:name w:val="Body Text 2 Char"/>
    <w:link w:val="BodyText2"/>
    <w:rsid w:val="00A11E73"/>
    <w:rPr>
      <w:b/>
      <w:bCs/>
      <w:sz w:val="24"/>
    </w:rPr>
  </w:style>
  <w:style w:type="character" w:customStyle="1" w:styleId="moz-txt-citetags">
    <w:name w:val="moz-txt-citetags"/>
    <w:basedOn w:val="DefaultParagraphFont"/>
    <w:rsid w:val="00F2359B"/>
  </w:style>
  <w:style w:type="character" w:customStyle="1" w:styleId="colorfont-headerlocal">
    <w:name w:val="color_font-header_local"/>
    <w:basedOn w:val="DefaultParagraphFont"/>
    <w:rsid w:val="000A0AD7"/>
  </w:style>
  <w:style w:type="character" w:customStyle="1" w:styleId="layout-timestamplocalinline">
    <w:name w:val="layout-timestamp_local_inline"/>
    <w:basedOn w:val="DefaultParagraphFont"/>
    <w:rsid w:val="000A0AD7"/>
  </w:style>
  <w:style w:type="character" w:customStyle="1" w:styleId="layout-coloninline">
    <w:name w:val="layout-colon_inline"/>
    <w:basedOn w:val="DefaultParagraphFont"/>
    <w:rsid w:val="000A0AD7"/>
  </w:style>
  <w:style w:type="character" w:customStyle="1" w:styleId="colorfont-headerremote0">
    <w:name w:val="color_font-header_remote_0"/>
    <w:basedOn w:val="DefaultParagraphFont"/>
    <w:rsid w:val="000A0AD7"/>
  </w:style>
  <w:style w:type="character" w:customStyle="1" w:styleId="layout-timestampremoteinline">
    <w:name w:val="layout-timestamp_remote_inline"/>
    <w:basedOn w:val="DefaultParagraphFont"/>
    <w:rsid w:val="000A0AD7"/>
  </w:style>
  <w:style w:type="character" w:styleId="CommentReference">
    <w:name w:val="annotation reference"/>
    <w:rsid w:val="00030890"/>
    <w:rPr>
      <w:sz w:val="16"/>
      <w:szCs w:val="16"/>
    </w:rPr>
  </w:style>
  <w:style w:type="paragraph" w:styleId="CommentText">
    <w:name w:val="annotation text"/>
    <w:basedOn w:val="Normal"/>
    <w:link w:val="CommentTextChar"/>
    <w:rsid w:val="00030890"/>
    <w:rPr>
      <w:sz w:val="20"/>
      <w:szCs w:val="20"/>
    </w:rPr>
  </w:style>
  <w:style w:type="character" w:customStyle="1" w:styleId="CommentTextChar">
    <w:name w:val="Comment Text Char"/>
    <w:basedOn w:val="DefaultParagraphFont"/>
    <w:link w:val="CommentText"/>
    <w:rsid w:val="00030890"/>
  </w:style>
  <w:style w:type="paragraph" w:styleId="CommentSubject">
    <w:name w:val="annotation subject"/>
    <w:basedOn w:val="CommentText"/>
    <w:next w:val="CommentText"/>
    <w:link w:val="CommentSubjectChar"/>
    <w:rsid w:val="00030890"/>
    <w:rPr>
      <w:b/>
      <w:bCs/>
    </w:rPr>
  </w:style>
  <w:style w:type="character" w:customStyle="1" w:styleId="CommentSubjectChar">
    <w:name w:val="Comment Subject Char"/>
    <w:link w:val="CommentSubject"/>
    <w:rsid w:val="00030890"/>
    <w:rPr>
      <w:b/>
      <w:bCs/>
    </w:rPr>
  </w:style>
  <w:style w:type="paragraph" w:styleId="Revision">
    <w:name w:val="Revision"/>
    <w:hidden/>
    <w:uiPriority w:val="99"/>
    <w:semiHidden/>
    <w:rsid w:val="0007745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1BEB"/>
    <w:rPr>
      <w:sz w:val="24"/>
      <w:szCs w:val="24"/>
    </w:rPr>
  </w:style>
  <w:style w:type="paragraph" w:styleId="Heading3">
    <w:name w:val="heading 3"/>
    <w:basedOn w:val="Normal"/>
    <w:next w:val="Normal"/>
    <w:link w:val="Heading3Char"/>
    <w:qFormat/>
    <w:rsid w:val="00A11E73"/>
    <w:pPr>
      <w:keepNext/>
      <w:jc w:val="both"/>
      <w:outlineLvl w:val="2"/>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94EF8"/>
    <w:pPr>
      <w:tabs>
        <w:tab w:val="center" w:pos="4680"/>
        <w:tab w:val="right" w:pos="9360"/>
      </w:tabs>
    </w:pPr>
  </w:style>
  <w:style w:type="character" w:customStyle="1" w:styleId="HeaderChar">
    <w:name w:val="Header Char"/>
    <w:link w:val="Header"/>
    <w:rsid w:val="00294EF8"/>
    <w:rPr>
      <w:sz w:val="24"/>
      <w:szCs w:val="24"/>
    </w:rPr>
  </w:style>
  <w:style w:type="paragraph" w:styleId="Footer">
    <w:name w:val="footer"/>
    <w:basedOn w:val="Normal"/>
    <w:link w:val="FooterChar"/>
    <w:rsid w:val="00294EF8"/>
    <w:pPr>
      <w:tabs>
        <w:tab w:val="center" w:pos="4680"/>
        <w:tab w:val="right" w:pos="9360"/>
      </w:tabs>
    </w:pPr>
  </w:style>
  <w:style w:type="character" w:customStyle="1" w:styleId="FooterChar">
    <w:name w:val="Footer Char"/>
    <w:link w:val="Footer"/>
    <w:rsid w:val="00294EF8"/>
    <w:rPr>
      <w:sz w:val="24"/>
      <w:szCs w:val="24"/>
    </w:rPr>
  </w:style>
  <w:style w:type="paragraph" w:styleId="HTMLPreformatted">
    <w:name w:val="HTML Preformatted"/>
    <w:basedOn w:val="Normal"/>
    <w:link w:val="HTMLPreformattedChar"/>
    <w:uiPriority w:val="99"/>
    <w:rsid w:val="00294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294EF8"/>
    <w:rPr>
      <w:rFonts w:ascii="Courier New" w:hAnsi="Courier New" w:cs="Courier New"/>
    </w:rPr>
  </w:style>
  <w:style w:type="paragraph" w:styleId="BalloonText">
    <w:name w:val="Balloon Text"/>
    <w:basedOn w:val="Normal"/>
    <w:link w:val="BalloonTextChar"/>
    <w:rsid w:val="00F8114A"/>
    <w:rPr>
      <w:rFonts w:ascii="Tahoma" w:hAnsi="Tahoma" w:cs="Tahoma"/>
      <w:sz w:val="16"/>
      <w:szCs w:val="16"/>
    </w:rPr>
  </w:style>
  <w:style w:type="character" w:customStyle="1" w:styleId="BalloonTextChar">
    <w:name w:val="Balloon Text Char"/>
    <w:link w:val="BalloonText"/>
    <w:rsid w:val="00F8114A"/>
    <w:rPr>
      <w:rFonts w:ascii="Tahoma" w:hAnsi="Tahoma" w:cs="Tahoma"/>
      <w:sz w:val="16"/>
      <w:szCs w:val="16"/>
    </w:rPr>
  </w:style>
  <w:style w:type="paragraph" w:styleId="ListParagraph">
    <w:name w:val="List Paragraph"/>
    <w:basedOn w:val="Normal"/>
    <w:qFormat/>
    <w:rsid w:val="00F8114A"/>
    <w:pPr>
      <w:ind w:left="720"/>
    </w:pPr>
    <w:rPr>
      <w:szCs w:val="20"/>
    </w:rPr>
  </w:style>
  <w:style w:type="character" w:customStyle="1" w:styleId="Heading3Char">
    <w:name w:val="Heading 3 Char"/>
    <w:link w:val="Heading3"/>
    <w:rsid w:val="00A11E73"/>
    <w:rPr>
      <w:sz w:val="24"/>
      <w:u w:val="single"/>
    </w:rPr>
  </w:style>
  <w:style w:type="paragraph" w:styleId="BodyText2">
    <w:name w:val="Body Text 2"/>
    <w:basedOn w:val="Normal"/>
    <w:link w:val="BodyText2Char"/>
    <w:rsid w:val="00A11E73"/>
    <w:pPr>
      <w:jc w:val="both"/>
    </w:pPr>
    <w:rPr>
      <w:b/>
      <w:bCs/>
      <w:szCs w:val="20"/>
    </w:rPr>
  </w:style>
  <w:style w:type="character" w:customStyle="1" w:styleId="BodyText2Char">
    <w:name w:val="Body Text 2 Char"/>
    <w:link w:val="BodyText2"/>
    <w:rsid w:val="00A11E73"/>
    <w:rPr>
      <w:b/>
      <w:bCs/>
      <w:sz w:val="24"/>
    </w:rPr>
  </w:style>
  <w:style w:type="character" w:customStyle="1" w:styleId="moz-txt-citetags">
    <w:name w:val="moz-txt-citetags"/>
    <w:basedOn w:val="DefaultParagraphFont"/>
    <w:rsid w:val="00F2359B"/>
  </w:style>
  <w:style w:type="character" w:customStyle="1" w:styleId="colorfont-headerlocal">
    <w:name w:val="color_font-header_local"/>
    <w:basedOn w:val="DefaultParagraphFont"/>
    <w:rsid w:val="000A0AD7"/>
  </w:style>
  <w:style w:type="character" w:customStyle="1" w:styleId="layout-timestamplocalinline">
    <w:name w:val="layout-timestamp_local_inline"/>
    <w:basedOn w:val="DefaultParagraphFont"/>
    <w:rsid w:val="000A0AD7"/>
  </w:style>
  <w:style w:type="character" w:customStyle="1" w:styleId="layout-coloninline">
    <w:name w:val="layout-colon_inline"/>
    <w:basedOn w:val="DefaultParagraphFont"/>
    <w:rsid w:val="000A0AD7"/>
  </w:style>
  <w:style w:type="character" w:customStyle="1" w:styleId="colorfont-headerremote0">
    <w:name w:val="color_font-header_remote_0"/>
    <w:basedOn w:val="DefaultParagraphFont"/>
    <w:rsid w:val="000A0AD7"/>
  </w:style>
  <w:style w:type="character" w:customStyle="1" w:styleId="layout-timestampremoteinline">
    <w:name w:val="layout-timestamp_remote_inline"/>
    <w:basedOn w:val="DefaultParagraphFont"/>
    <w:rsid w:val="000A0AD7"/>
  </w:style>
  <w:style w:type="character" w:styleId="CommentReference">
    <w:name w:val="annotation reference"/>
    <w:rsid w:val="00030890"/>
    <w:rPr>
      <w:sz w:val="16"/>
      <w:szCs w:val="16"/>
    </w:rPr>
  </w:style>
  <w:style w:type="paragraph" w:styleId="CommentText">
    <w:name w:val="annotation text"/>
    <w:basedOn w:val="Normal"/>
    <w:link w:val="CommentTextChar"/>
    <w:rsid w:val="00030890"/>
    <w:rPr>
      <w:sz w:val="20"/>
      <w:szCs w:val="20"/>
    </w:rPr>
  </w:style>
  <w:style w:type="character" w:customStyle="1" w:styleId="CommentTextChar">
    <w:name w:val="Comment Text Char"/>
    <w:basedOn w:val="DefaultParagraphFont"/>
    <w:link w:val="CommentText"/>
    <w:rsid w:val="00030890"/>
  </w:style>
  <w:style w:type="paragraph" w:styleId="CommentSubject">
    <w:name w:val="annotation subject"/>
    <w:basedOn w:val="CommentText"/>
    <w:next w:val="CommentText"/>
    <w:link w:val="CommentSubjectChar"/>
    <w:rsid w:val="00030890"/>
    <w:rPr>
      <w:b/>
      <w:bCs/>
    </w:rPr>
  </w:style>
  <w:style w:type="character" w:customStyle="1" w:styleId="CommentSubjectChar">
    <w:name w:val="Comment Subject Char"/>
    <w:link w:val="CommentSubject"/>
    <w:rsid w:val="00030890"/>
    <w:rPr>
      <w:b/>
      <w:bCs/>
    </w:rPr>
  </w:style>
  <w:style w:type="paragraph" w:styleId="Revision">
    <w:name w:val="Revision"/>
    <w:hidden/>
    <w:uiPriority w:val="99"/>
    <w:semiHidden/>
    <w:rsid w:val="000774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551543">
      <w:bodyDiv w:val="1"/>
      <w:marLeft w:val="0"/>
      <w:marRight w:val="0"/>
      <w:marTop w:val="0"/>
      <w:marBottom w:val="0"/>
      <w:divBdr>
        <w:top w:val="none" w:sz="0" w:space="0" w:color="auto"/>
        <w:left w:val="none" w:sz="0" w:space="0" w:color="auto"/>
        <w:bottom w:val="none" w:sz="0" w:space="0" w:color="auto"/>
        <w:right w:val="none" w:sz="0" w:space="0" w:color="auto"/>
      </w:divBdr>
    </w:div>
    <w:div w:id="969018439">
      <w:bodyDiv w:val="1"/>
      <w:marLeft w:val="0"/>
      <w:marRight w:val="0"/>
      <w:marTop w:val="0"/>
      <w:marBottom w:val="0"/>
      <w:divBdr>
        <w:top w:val="none" w:sz="0" w:space="0" w:color="auto"/>
        <w:left w:val="none" w:sz="0" w:space="0" w:color="auto"/>
        <w:bottom w:val="none" w:sz="0" w:space="0" w:color="auto"/>
        <w:right w:val="none" w:sz="0" w:space="0" w:color="auto"/>
      </w:divBdr>
    </w:div>
    <w:div w:id="1047605919">
      <w:bodyDiv w:val="1"/>
      <w:marLeft w:val="0"/>
      <w:marRight w:val="0"/>
      <w:marTop w:val="0"/>
      <w:marBottom w:val="0"/>
      <w:divBdr>
        <w:top w:val="none" w:sz="0" w:space="0" w:color="auto"/>
        <w:left w:val="none" w:sz="0" w:space="0" w:color="auto"/>
        <w:bottom w:val="none" w:sz="0" w:space="0" w:color="auto"/>
        <w:right w:val="none" w:sz="0" w:space="0" w:color="auto"/>
      </w:divBdr>
    </w:div>
    <w:div w:id="1673022791">
      <w:bodyDiv w:val="1"/>
      <w:marLeft w:val="0"/>
      <w:marRight w:val="0"/>
      <w:marTop w:val="0"/>
      <w:marBottom w:val="0"/>
      <w:divBdr>
        <w:top w:val="none" w:sz="0" w:space="0" w:color="auto"/>
        <w:left w:val="none" w:sz="0" w:space="0" w:color="auto"/>
        <w:bottom w:val="none" w:sz="0" w:space="0" w:color="auto"/>
        <w:right w:val="none" w:sz="0" w:space="0" w:color="auto"/>
      </w:divBdr>
    </w:div>
    <w:div w:id="1686128805">
      <w:bodyDiv w:val="1"/>
      <w:marLeft w:val="0"/>
      <w:marRight w:val="0"/>
      <w:marTop w:val="0"/>
      <w:marBottom w:val="0"/>
      <w:divBdr>
        <w:top w:val="none" w:sz="0" w:space="0" w:color="auto"/>
        <w:left w:val="none" w:sz="0" w:space="0" w:color="auto"/>
        <w:bottom w:val="none" w:sz="0" w:space="0" w:color="auto"/>
        <w:right w:val="none" w:sz="0" w:space="0" w:color="auto"/>
      </w:divBdr>
    </w:div>
    <w:div w:id="1995136742">
      <w:bodyDiv w:val="1"/>
      <w:marLeft w:val="0"/>
      <w:marRight w:val="0"/>
      <w:marTop w:val="0"/>
      <w:marBottom w:val="0"/>
      <w:divBdr>
        <w:top w:val="none" w:sz="0" w:space="0" w:color="auto"/>
        <w:left w:val="none" w:sz="0" w:space="0" w:color="auto"/>
        <w:bottom w:val="none" w:sz="0" w:space="0" w:color="auto"/>
        <w:right w:val="none" w:sz="0" w:space="0" w:color="auto"/>
      </w:divBdr>
      <w:divsChild>
        <w:div w:id="1019427670">
          <w:marLeft w:val="0"/>
          <w:marRight w:val="0"/>
          <w:marTop w:val="0"/>
          <w:marBottom w:val="0"/>
          <w:divBdr>
            <w:top w:val="none" w:sz="0" w:space="0" w:color="auto"/>
            <w:left w:val="none" w:sz="0" w:space="0" w:color="auto"/>
            <w:bottom w:val="none" w:sz="0" w:space="0" w:color="auto"/>
            <w:right w:val="none" w:sz="0" w:space="0" w:color="auto"/>
          </w:divBdr>
          <w:divsChild>
            <w:div w:id="1584486998">
              <w:marLeft w:val="0"/>
              <w:marRight w:val="0"/>
              <w:marTop w:val="0"/>
              <w:marBottom w:val="0"/>
              <w:divBdr>
                <w:top w:val="none" w:sz="0" w:space="0" w:color="auto"/>
                <w:left w:val="none" w:sz="0" w:space="0" w:color="auto"/>
                <w:bottom w:val="none" w:sz="0" w:space="0" w:color="auto"/>
                <w:right w:val="none" w:sz="0" w:space="0" w:color="auto"/>
              </w:divBdr>
              <w:divsChild>
                <w:div w:id="1850101461">
                  <w:marLeft w:val="0"/>
                  <w:marRight w:val="0"/>
                  <w:marTop w:val="0"/>
                  <w:marBottom w:val="0"/>
                  <w:divBdr>
                    <w:top w:val="none" w:sz="0" w:space="0" w:color="auto"/>
                    <w:left w:val="none" w:sz="0" w:space="0" w:color="auto"/>
                    <w:bottom w:val="none" w:sz="0" w:space="0" w:color="auto"/>
                    <w:right w:val="none" w:sz="0" w:space="0" w:color="auto"/>
                  </w:divBdr>
                  <w:divsChild>
                    <w:div w:id="107493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FB936-62F2-4D90-BC54-35F81177A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1478</Words>
  <Characters>8425</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OIT User Services</Company>
  <LinksUpToDate>false</LinksUpToDate>
  <CharactersWithSpaces>9884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dc:creator>
  <cp:lastModifiedBy>Brandi R Berg</cp:lastModifiedBy>
  <cp:revision>2</cp:revision>
  <cp:lastPrinted>2012-03-20T15:59:00Z</cp:lastPrinted>
  <dcterms:created xsi:type="dcterms:W3CDTF">2012-03-26T22:16:00Z</dcterms:created>
  <dcterms:modified xsi:type="dcterms:W3CDTF">2012-03-26T22:16:00Z</dcterms:modified>
</cp:coreProperties>
</file>