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DB" w:rsidRDefault="00702BDB" w:rsidP="0042036C">
      <w:pPr>
        <w:jc w:val="center"/>
      </w:pPr>
    </w:p>
    <w:p w:rsidR="00702BDB" w:rsidRDefault="00702BDB" w:rsidP="0042036C">
      <w:pPr>
        <w:jc w:val="center"/>
      </w:pPr>
    </w:p>
    <w:p w:rsidR="0042036C" w:rsidRPr="00467A05" w:rsidRDefault="00D25934" w:rsidP="0042036C">
      <w:pPr>
        <w:jc w:val="center"/>
        <w:rPr>
          <w:b/>
        </w:rPr>
      </w:pPr>
      <w:r>
        <w:t>O</w:t>
      </w:r>
      <w:bookmarkStart w:id="0" w:name="_GoBack"/>
      <w:bookmarkEnd w:id="0"/>
      <w:r w:rsidR="00F32A8E">
        <w:t>fficial Minutes</w:t>
      </w:r>
    </w:p>
    <w:p w:rsidR="0042036C" w:rsidRPr="00467A05" w:rsidRDefault="0042036C" w:rsidP="0042036C">
      <w:pPr>
        <w:ind w:left="720" w:hanging="720"/>
        <w:jc w:val="center"/>
        <w:rPr>
          <w:b/>
        </w:rPr>
      </w:pPr>
      <w:r w:rsidRPr="00467A05">
        <w:rPr>
          <w:b/>
        </w:rPr>
        <w:t>Board of Regents</w:t>
      </w:r>
    </w:p>
    <w:p w:rsidR="0042036C" w:rsidRPr="00467A05" w:rsidRDefault="007915FD" w:rsidP="0042036C">
      <w:pPr>
        <w:ind w:left="720" w:hanging="720"/>
        <w:jc w:val="center"/>
        <w:rPr>
          <w:b/>
        </w:rPr>
      </w:pPr>
      <w:r>
        <w:rPr>
          <w:b/>
        </w:rPr>
        <w:t>Emergency</w:t>
      </w:r>
      <w:r w:rsidR="0042036C">
        <w:rPr>
          <w:b/>
        </w:rPr>
        <w:t xml:space="preserve"> </w:t>
      </w:r>
      <w:r w:rsidR="0042036C" w:rsidRPr="00467A05">
        <w:rPr>
          <w:b/>
        </w:rPr>
        <w:t>Meeting of the Full Board</w:t>
      </w:r>
    </w:p>
    <w:p w:rsidR="0042036C" w:rsidRPr="00833904" w:rsidRDefault="00374FDE" w:rsidP="0042036C">
      <w:pPr>
        <w:ind w:left="720" w:hanging="720"/>
        <w:jc w:val="center"/>
      </w:pPr>
      <w:r>
        <w:t>Ju</w:t>
      </w:r>
      <w:r w:rsidR="007915FD">
        <w:t>ly</w:t>
      </w:r>
      <w:r>
        <w:t xml:space="preserve"> 2</w:t>
      </w:r>
      <w:r w:rsidR="007915FD">
        <w:t>7</w:t>
      </w:r>
      <w:r>
        <w:t>,</w:t>
      </w:r>
      <w:r w:rsidR="00112EF5">
        <w:t xml:space="preserve"> 2012</w:t>
      </w:r>
    </w:p>
    <w:p w:rsidR="0042036C" w:rsidRDefault="0042036C" w:rsidP="0042036C">
      <w:pPr>
        <w:jc w:val="center"/>
      </w:pPr>
      <w:r>
        <w:t>AUDIO</w:t>
      </w:r>
      <w:r w:rsidR="00AE31BF">
        <w:t xml:space="preserve"> </w:t>
      </w:r>
      <w:r>
        <w:t>CONFERENCE</w:t>
      </w:r>
    </w:p>
    <w:p w:rsidR="00F32A8E" w:rsidRDefault="00F32A8E" w:rsidP="00F32A8E">
      <w:pPr>
        <w:rPr>
          <w:b/>
          <w:bCs w:val="0"/>
          <w:u w:val="single"/>
        </w:rPr>
      </w:pPr>
    </w:p>
    <w:p w:rsidR="00702BDB" w:rsidRDefault="00702BDB" w:rsidP="00F32A8E">
      <w:pPr>
        <w:rPr>
          <w:b/>
          <w:bCs w:val="0"/>
          <w:u w:val="single"/>
        </w:rPr>
      </w:pPr>
    </w:p>
    <w:p w:rsidR="00702BDB" w:rsidRDefault="00702BDB" w:rsidP="00F32A8E">
      <w:pPr>
        <w:rPr>
          <w:b/>
          <w:bCs w:val="0"/>
          <w:u w:val="single"/>
        </w:rPr>
      </w:pPr>
    </w:p>
    <w:p w:rsidR="00702BDB" w:rsidRDefault="00702BDB" w:rsidP="00F32A8E">
      <w:pPr>
        <w:rPr>
          <w:b/>
          <w:bCs w:val="0"/>
          <w:u w:val="single"/>
        </w:rPr>
      </w:pPr>
    </w:p>
    <w:p w:rsidR="00F32A8E" w:rsidRDefault="00F32A8E" w:rsidP="00F32A8E">
      <w:pPr>
        <w:rPr>
          <w:b/>
          <w:bCs w:val="0"/>
          <w:u w:val="single"/>
        </w:rPr>
      </w:pPr>
    </w:p>
    <w:p w:rsidR="00F32A8E" w:rsidRPr="000C1EC8" w:rsidRDefault="00F32A8E" w:rsidP="00F32A8E">
      <w:pPr>
        <w:rPr>
          <w:b/>
          <w:bCs w:val="0"/>
          <w:u w:val="single"/>
        </w:rPr>
      </w:pPr>
      <w:r w:rsidRPr="000C1EC8">
        <w:rPr>
          <w:b/>
          <w:bCs w:val="0"/>
          <w:u w:val="single"/>
        </w:rPr>
        <w:t>Regents Present:</w:t>
      </w:r>
    </w:p>
    <w:p w:rsidR="00F32A8E" w:rsidRDefault="00F32A8E" w:rsidP="00F32A8E">
      <w:pPr>
        <w:rPr>
          <w:bCs w:val="0"/>
        </w:rPr>
      </w:pPr>
      <w:r>
        <w:rPr>
          <w:bCs w:val="0"/>
        </w:rPr>
        <w:t>Patricia Jacobson, Chair</w:t>
      </w:r>
    </w:p>
    <w:p w:rsidR="00F32A8E" w:rsidRDefault="00F32A8E" w:rsidP="00F32A8E">
      <w:pPr>
        <w:rPr>
          <w:bCs w:val="0"/>
        </w:rPr>
      </w:pPr>
      <w:r>
        <w:rPr>
          <w:bCs w:val="0"/>
        </w:rPr>
        <w:t xml:space="preserve">Carl </w:t>
      </w:r>
      <w:proofErr w:type="spellStart"/>
      <w:r>
        <w:rPr>
          <w:bCs w:val="0"/>
        </w:rPr>
        <w:t>Marrs</w:t>
      </w:r>
      <w:proofErr w:type="spellEnd"/>
      <w:r>
        <w:rPr>
          <w:bCs w:val="0"/>
        </w:rPr>
        <w:t>, Vice Chair</w:t>
      </w:r>
    </w:p>
    <w:p w:rsidR="00F32A8E" w:rsidRDefault="00F32A8E" w:rsidP="00F32A8E">
      <w:pPr>
        <w:rPr>
          <w:bCs w:val="0"/>
        </w:rPr>
      </w:pPr>
      <w:proofErr w:type="spellStart"/>
      <w:r>
        <w:rPr>
          <w:bCs w:val="0"/>
        </w:rPr>
        <w:t>Jyotsna</w:t>
      </w:r>
      <w:proofErr w:type="spellEnd"/>
      <w:r>
        <w:rPr>
          <w:bCs w:val="0"/>
        </w:rPr>
        <w:t xml:space="preserve"> Heckman, Treasurer</w:t>
      </w:r>
    </w:p>
    <w:p w:rsidR="00F32A8E" w:rsidRDefault="00F32A8E" w:rsidP="00F32A8E">
      <w:pPr>
        <w:rPr>
          <w:bCs w:val="0"/>
        </w:rPr>
      </w:pPr>
      <w:r>
        <w:rPr>
          <w:bCs w:val="0"/>
        </w:rPr>
        <w:t>Dale Anderson</w:t>
      </w:r>
    </w:p>
    <w:p w:rsidR="00F32A8E" w:rsidRDefault="00F32A8E" w:rsidP="00F32A8E">
      <w:pPr>
        <w:rPr>
          <w:bCs w:val="0"/>
        </w:rPr>
      </w:pPr>
      <w:r>
        <w:rPr>
          <w:bCs w:val="0"/>
        </w:rPr>
        <w:t>Timothy C. Brady</w:t>
      </w:r>
    </w:p>
    <w:p w:rsidR="00F32A8E" w:rsidRDefault="00F32A8E" w:rsidP="00F32A8E">
      <w:pPr>
        <w:rPr>
          <w:bCs w:val="0"/>
        </w:rPr>
      </w:pPr>
      <w:r>
        <w:rPr>
          <w:bCs w:val="0"/>
        </w:rPr>
        <w:t>Fuller A. Cowell</w:t>
      </w:r>
    </w:p>
    <w:p w:rsidR="00F32A8E" w:rsidRDefault="00F32A8E" w:rsidP="00F32A8E">
      <w:pPr>
        <w:rPr>
          <w:bCs w:val="0"/>
        </w:rPr>
      </w:pPr>
      <w:r>
        <w:rPr>
          <w:bCs w:val="0"/>
        </w:rPr>
        <w:t>Kenneth Fisher</w:t>
      </w:r>
    </w:p>
    <w:p w:rsidR="00F32A8E" w:rsidRDefault="00F32A8E" w:rsidP="00F32A8E">
      <w:pPr>
        <w:rPr>
          <w:bCs w:val="0"/>
        </w:rPr>
      </w:pPr>
      <w:r>
        <w:rPr>
          <w:bCs w:val="0"/>
        </w:rPr>
        <w:t xml:space="preserve">Mari </w:t>
      </w:r>
      <w:proofErr w:type="spellStart"/>
      <w:r>
        <w:rPr>
          <w:bCs w:val="0"/>
        </w:rPr>
        <w:t>Freitag</w:t>
      </w:r>
      <w:proofErr w:type="spellEnd"/>
    </w:p>
    <w:p w:rsidR="00F32A8E" w:rsidRDefault="00F32A8E" w:rsidP="00F32A8E">
      <w:pPr>
        <w:rPr>
          <w:bCs w:val="0"/>
        </w:rPr>
      </w:pPr>
    </w:p>
    <w:p w:rsidR="00F32A8E" w:rsidRDefault="00F32A8E" w:rsidP="00F32A8E">
      <w:pPr>
        <w:rPr>
          <w:bCs w:val="0"/>
        </w:rPr>
      </w:pPr>
      <w:r>
        <w:rPr>
          <w:bCs w:val="0"/>
        </w:rPr>
        <w:t>Patrick K. Gamble, Chief Executive Officer and President, University of Alaska</w:t>
      </w:r>
    </w:p>
    <w:p w:rsidR="00F32A8E" w:rsidRDefault="00F32A8E" w:rsidP="00F32A8E">
      <w:pPr>
        <w:rPr>
          <w:bCs w:val="0"/>
        </w:rPr>
      </w:pPr>
    </w:p>
    <w:p w:rsidR="00F32A8E" w:rsidRPr="008A1126" w:rsidRDefault="00F32A8E" w:rsidP="00F32A8E">
      <w:pPr>
        <w:tabs>
          <w:tab w:val="left" w:pos="0"/>
        </w:tabs>
        <w:jc w:val="both"/>
        <w:rPr>
          <w:b/>
          <w:u w:val="single"/>
        </w:rPr>
      </w:pPr>
      <w:r w:rsidRPr="008A1126">
        <w:rPr>
          <w:b/>
          <w:u w:val="single"/>
        </w:rPr>
        <w:t>Regents Absent:</w:t>
      </w:r>
    </w:p>
    <w:p w:rsidR="00F32A8E" w:rsidRDefault="00F32A8E" w:rsidP="00F32A8E">
      <w:pPr>
        <w:rPr>
          <w:bCs w:val="0"/>
        </w:rPr>
      </w:pPr>
      <w:r>
        <w:rPr>
          <w:bCs w:val="0"/>
        </w:rPr>
        <w:t>Kirk Wickersham, Secretary</w:t>
      </w:r>
    </w:p>
    <w:p w:rsidR="00F32A8E" w:rsidRDefault="00F32A8E" w:rsidP="00F32A8E">
      <w:pPr>
        <w:rPr>
          <w:bCs w:val="0"/>
        </w:rPr>
      </w:pPr>
      <w:r>
        <w:rPr>
          <w:bCs w:val="0"/>
        </w:rPr>
        <w:t>Mary K. Hughes</w:t>
      </w:r>
    </w:p>
    <w:p w:rsidR="00F32A8E" w:rsidRDefault="00F32A8E" w:rsidP="00F32A8E">
      <w:pPr>
        <w:rPr>
          <w:bCs w:val="0"/>
        </w:rPr>
      </w:pPr>
      <w:r>
        <w:rPr>
          <w:bCs w:val="0"/>
        </w:rPr>
        <w:t>Michael Powers</w:t>
      </w:r>
    </w:p>
    <w:p w:rsidR="00F32A8E" w:rsidRDefault="00F32A8E" w:rsidP="00F32A8E">
      <w:pPr>
        <w:rPr>
          <w:bCs w:val="0"/>
        </w:rPr>
      </w:pPr>
    </w:p>
    <w:p w:rsidR="00F32A8E" w:rsidRDefault="00F32A8E" w:rsidP="00F32A8E">
      <w:pPr>
        <w:rPr>
          <w:b/>
          <w:bCs w:val="0"/>
          <w:u w:val="single"/>
        </w:rPr>
      </w:pPr>
      <w:r w:rsidRPr="008C6200">
        <w:rPr>
          <w:b/>
          <w:bCs w:val="0"/>
          <w:u w:val="single"/>
        </w:rPr>
        <w:t>Other Present:</w:t>
      </w:r>
    </w:p>
    <w:p w:rsidR="00F32A8E" w:rsidRDefault="00F32A8E" w:rsidP="00F32A8E">
      <w:pPr>
        <w:rPr>
          <w:bCs w:val="0"/>
        </w:rPr>
      </w:pPr>
      <w:r>
        <w:rPr>
          <w:bCs w:val="0"/>
        </w:rPr>
        <w:t>Thomas Case, Chancellor, University of Alaska Anchorage</w:t>
      </w:r>
    </w:p>
    <w:p w:rsidR="00F32A8E" w:rsidRPr="00CE5287" w:rsidRDefault="00F32A8E" w:rsidP="00F32A8E">
      <w:pPr>
        <w:rPr>
          <w:bCs w:val="0"/>
        </w:rPr>
      </w:pPr>
      <w:r>
        <w:rPr>
          <w:bCs w:val="0"/>
        </w:rPr>
        <w:t xml:space="preserve">Brian D. Rogers, Chancellor, University of Alaska Fairbanks </w:t>
      </w:r>
    </w:p>
    <w:p w:rsidR="00F32A8E" w:rsidRDefault="00F32A8E" w:rsidP="00F32A8E">
      <w:pPr>
        <w:tabs>
          <w:tab w:val="left" w:pos="0"/>
        </w:tabs>
        <w:jc w:val="both"/>
      </w:pPr>
      <w:r>
        <w:t xml:space="preserve">Michael </w:t>
      </w:r>
      <w:proofErr w:type="spellStart"/>
      <w:r>
        <w:t>Hostina</w:t>
      </w:r>
      <w:proofErr w:type="spellEnd"/>
      <w:r>
        <w:t>, General Counsel</w:t>
      </w:r>
    </w:p>
    <w:p w:rsidR="00F32A8E" w:rsidRDefault="00F32A8E" w:rsidP="00F32A8E">
      <w:pPr>
        <w:tabs>
          <w:tab w:val="left" w:pos="0"/>
        </w:tabs>
        <w:jc w:val="both"/>
      </w:pPr>
      <w:r>
        <w:t>Matt Cooper, Associate General Counsel</w:t>
      </w:r>
    </w:p>
    <w:p w:rsidR="00F32A8E" w:rsidRDefault="00F32A8E" w:rsidP="00F32A8E">
      <w:pPr>
        <w:rPr>
          <w:bCs w:val="0"/>
        </w:rPr>
      </w:pPr>
      <w:r>
        <w:t xml:space="preserve">Elisha Baker, Interim Provost, </w:t>
      </w:r>
      <w:r>
        <w:rPr>
          <w:bCs w:val="0"/>
        </w:rPr>
        <w:t>University of Alaska Anchorage</w:t>
      </w:r>
    </w:p>
    <w:p w:rsidR="00F32A8E" w:rsidRDefault="00F32A8E" w:rsidP="00F32A8E">
      <w:pPr>
        <w:tabs>
          <w:tab w:val="left" w:pos="0"/>
        </w:tabs>
        <w:jc w:val="both"/>
        <w:rPr>
          <w:iCs/>
          <w:szCs w:val="24"/>
        </w:rPr>
      </w:pPr>
      <w:r w:rsidRPr="00D67703">
        <w:rPr>
          <w:iCs/>
          <w:szCs w:val="24"/>
        </w:rPr>
        <w:t>Helena Wisniewski, Vice Provost for Research and Graduate Studies</w:t>
      </w:r>
    </w:p>
    <w:p w:rsidR="00F32A8E" w:rsidRDefault="00F32A8E" w:rsidP="00F32A8E">
      <w:pPr>
        <w:tabs>
          <w:tab w:val="left" w:pos="0"/>
        </w:tabs>
        <w:jc w:val="both"/>
      </w:pPr>
      <w:r>
        <w:t xml:space="preserve">Kate </w:t>
      </w:r>
      <w:proofErr w:type="spellStart"/>
      <w:r>
        <w:t>Wattum</w:t>
      </w:r>
      <w:proofErr w:type="spellEnd"/>
      <w:r>
        <w:t>, Interim Director, Public Affairs</w:t>
      </w:r>
    </w:p>
    <w:p w:rsidR="00F32A8E" w:rsidRDefault="00F32A8E" w:rsidP="00F32A8E">
      <w:pPr>
        <w:tabs>
          <w:tab w:val="left" w:pos="0"/>
        </w:tabs>
        <w:jc w:val="both"/>
      </w:pPr>
      <w:r>
        <w:t>Brandi Berg, Executive Officer, Board of Regents</w:t>
      </w:r>
    </w:p>
    <w:p w:rsidR="00F32A8E" w:rsidRDefault="00F32A8E" w:rsidP="0042036C">
      <w:pPr>
        <w:tabs>
          <w:tab w:val="right" w:pos="8640"/>
        </w:tabs>
        <w:ind w:left="720" w:hanging="720"/>
        <w:jc w:val="both"/>
        <w:rPr>
          <w:b/>
        </w:rPr>
      </w:pPr>
    </w:p>
    <w:p w:rsidR="0042036C" w:rsidRPr="00467A05" w:rsidRDefault="0042036C" w:rsidP="0042036C">
      <w:pPr>
        <w:tabs>
          <w:tab w:val="right" w:pos="8640"/>
        </w:tabs>
        <w:ind w:left="720" w:hanging="720"/>
        <w:jc w:val="both"/>
        <w:rPr>
          <w:b/>
        </w:rPr>
      </w:pPr>
      <w:r w:rsidRPr="00467A05">
        <w:rPr>
          <w:b/>
        </w:rPr>
        <w:t>I.</w:t>
      </w:r>
      <w:r w:rsidRPr="00467A05">
        <w:tab/>
      </w:r>
      <w:r w:rsidRPr="00467A05">
        <w:rPr>
          <w:b/>
          <w:u w:val="single"/>
        </w:rPr>
        <w:t>Call to Order</w:t>
      </w:r>
      <w:r w:rsidR="002C7F6D">
        <w:rPr>
          <w:b/>
          <w:u w:val="single"/>
        </w:rPr>
        <w:t xml:space="preserve"> </w:t>
      </w:r>
    </w:p>
    <w:p w:rsidR="0042036C" w:rsidRDefault="0042036C" w:rsidP="0042036C">
      <w:pPr>
        <w:ind w:right="360"/>
        <w:jc w:val="both"/>
      </w:pPr>
    </w:p>
    <w:p w:rsidR="00F32A8E" w:rsidRDefault="00F32A8E" w:rsidP="00F32A8E">
      <w:pPr>
        <w:ind w:right="360"/>
        <w:jc w:val="both"/>
      </w:pPr>
      <w:r>
        <w:tab/>
        <w:t>Chair Jacobson called the meeting to order at 10:33 a.m. on Friday, July 27, 2012.</w:t>
      </w:r>
    </w:p>
    <w:p w:rsidR="00F32A8E" w:rsidRDefault="00F32A8E">
      <w:r>
        <w:br w:type="page"/>
      </w:r>
    </w:p>
    <w:p w:rsidR="0042036C" w:rsidRPr="00467A05" w:rsidRDefault="0042036C" w:rsidP="0042036C">
      <w:pPr>
        <w:ind w:right="360"/>
        <w:jc w:val="both"/>
        <w:rPr>
          <w:b/>
        </w:rPr>
      </w:pPr>
      <w:r w:rsidRPr="00467A05">
        <w:rPr>
          <w:b/>
        </w:rPr>
        <w:lastRenderedPageBreak/>
        <w:t>II.</w:t>
      </w:r>
      <w:r w:rsidRPr="00467A05">
        <w:rPr>
          <w:b/>
        </w:rPr>
        <w:tab/>
      </w:r>
      <w:r w:rsidRPr="00467A05">
        <w:rPr>
          <w:b/>
          <w:u w:val="single"/>
        </w:rPr>
        <w:t>Adoption of Agenda</w:t>
      </w:r>
    </w:p>
    <w:p w:rsidR="0042036C" w:rsidRDefault="0042036C" w:rsidP="0042036C">
      <w:pPr>
        <w:ind w:right="360"/>
        <w:jc w:val="both"/>
        <w:rPr>
          <w:b/>
          <w:sz w:val="16"/>
          <w:szCs w:val="16"/>
        </w:rPr>
      </w:pPr>
    </w:p>
    <w:p w:rsidR="00F32A8E" w:rsidRDefault="00F32A8E" w:rsidP="003568F4">
      <w:pPr>
        <w:ind w:left="720" w:right="360"/>
        <w:jc w:val="both"/>
        <w:rPr>
          <w:szCs w:val="24"/>
        </w:rPr>
      </w:pPr>
      <w:r w:rsidRPr="00AB04D6">
        <w:rPr>
          <w:szCs w:val="24"/>
        </w:rPr>
        <w:t xml:space="preserve">Regent </w:t>
      </w:r>
      <w:r>
        <w:rPr>
          <w:szCs w:val="24"/>
        </w:rPr>
        <w:t>Anderson moved, seconded by Regent Cowe</w:t>
      </w:r>
      <w:r w:rsidR="003568F4">
        <w:rPr>
          <w:szCs w:val="24"/>
        </w:rPr>
        <w:t xml:space="preserve">ll and passed with no objection </w:t>
      </w:r>
      <w:r>
        <w:rPr>
          <w:szCs w:val="24"/>
        </w:rPr>
        <w:t>that:</w:t>
      </w:r>
    </w:p>
    <w:p w:rsidR="00F32A8E" w:rsidRPr="002C7F6D" w:rsidRDefault="00F32A8E" w:rsidP="0042036C">
      <w:pPr>
        <w:ind w:right="360"/>
        <w:jc w:val="both"/>
        <w:rPr>
          <w:b/>
          <w:sz w:val="16"/>
          <w:szCs w:val="16"/>
        </w:rPr>
      </w:pPr>
    </w:p>
    <w:p w:rsidR="0042036C" w:rsidRPr="00467A05" w:rsidRDefault="0042036C" w:rsidP="0042036C">
      <w:pPr>
        <w:ind w:right="360"/>
        <w:jc w:val="both"/>
        <w:rPr>
          <w:b/>
          <w:u w:val="single"/>
        </w:rPr>
      </w:pPr>
      <w:r w:rsidRPr="00467A05">
        <w:rPr>
          <w:b/>
        </w:rPr>
        <w:tab/>
      </w:r>
      <w:r w:rsidR="00F32A8E">
        <w:rPr>
          <w:b/>
          <w:u w:val="single"/>
        </w:rPr>
        <w:t>PASSED</w:t>
      </w:r>
    </w:p>
    <w:p w:rsidR="0042036C" w:rsidRPr="00467A05" w:rsidRDefault="00E219DA" w:rsidP="0042036C">
      <w:pPr>
        <w:ind w:left="1800" w:hanging="1080"/>
        <w:jc w:val="both"/>
        <w:rPr>
          <w:b/>
        </w:rPr>
      </w:pPr>
      <w:r>
        <w:rPr>
          <w:b/>
        </w:rPr>
        <w:t>“</w:t>
      </w:r>
      <w:r w:rsidR="0042036C" w:rsidRPr="00467A05">
        <w:rPr>
          <w:b/>
        </w:rPr>
        <w:t>The Board of Regents adopts the agenda as presented.</w:t>
      </w:r>
    </w:p>
    <w:p w:rsidR="0042036C" w:rsidRPr="002C7F6D" w:rsidRDefault="0042036C" w:rsidP="0042036C">
      <w:pPr>
        <w:ind w:left="1800" w:hanging="1080"/>
        <w:jc w:val="both"/>
        <w:rPr>
          <w:b/>
          <w:sz w:val="16"/>
          <w:szCs w:val="16"/>
        </w:rPr>
      </w:pPr>
    </w:p>
    <w:p w:rsidR="0042036C" w:rsidRPr="00467A05" w:rsidRDefault="0042036C" w:rsidP="0042036C">
      <w:pPr>
        <w:ind w:left="1620" w:hanging="900"/>
        <w:jc w:val="both"/>
        <w:rPr>
          <w:b/>
        </w:rPr>
      </w:pPr>
      <w:r w:rsidRPr="00467A05">
        <w:rPr>
          <w:b/>
        </w:rPr>
        <w:t>I.</w:t>
      </w:r>
      <w:r w:rsidRPr="00467A05">
        <w:rPr>
          <w:b/>
        </w:rPr>
        <w:tab/>
        <w:t>Call to Order</w:t>
      </w:r>
    </w:p>
    <w:p w:rsidR="0042036C" w:rsidRDefault="0042036C" w:rsidP="0042036C">
      <w:pPr>
        <w:pStyle w:val="Heading7"/>
        <w:ind w:left="1620" w:hanging="900"/>
        <w:rPr>
          <w:rFonts w:ascii="Times New Roman" w:hAnsi="Times New Roman"/>
          <w:sz w:val="24"/>
        </w:rPr>
      </w:pPr>
      <w:r w:rsidRPr="00467A05">
        <w:rPr>
          <w:rFonts w:ascii="Times New Roman" w:hAnsi="Times New Roman"/>
          <w:sz w:val="24"/>
        </w:rPr>
        <w:t>II.</w:t>
      </w:r>
      <w:r w:rsidRPr="00467A05">
        <w:rPr>
          <w:rFonts w:ascii="Times New Roman" w:hAnsi="Times New Roman"/>
          <w:sz w:val="24"/>
        </w:rPr>
        <w:tab/>
        <w:t>Adoption of Agenda</w:t>
      </w:r>
    </w:p>
    <w:p w:rsidR="00E865F0" w:rsidRDefault="0042036C" w:rsidP="00F14C52">
      <w:pPr>
        <w:tabs>
          <w:tab w:val="right" w:pos="8640"/>
        </w:tabs>
        <w:ind w:left="1620" w:hanging="900"/>
        <w:jc w:val="both"/>
        <w:rPr>
          <w:b/>
        </w:rPr>
      </w:pPr>
      <w:r w:rsidRPr="003B6CBA">
        <w:rPr>
          <w:b/>
        </w:rPr>
        <w:t>III.</w:t>
      </w:r>
      <w:r w:rsidRPr="00AA69E9">
        <w:tab/>
      </w:r>
      <w:r w:rsidR="00A64A69" w:rsidRPr="00A64A69">
        <w:rPr>
          <w:b/>
        </w:rPr>
        <w:t>Resolution</w:t>
      </w:r>
      <w:r w:rsidR="00A64A69">
        <w:t xml:space="preserve"> </w:t>
      </w:r>
      <w:r w:rsidR="009D1BF6">
        <w:rPr>
          <w:b/>
          <w:bCs w:val="0"/>
        </w:rPr>
        <w:t>Authoriz</w:t>
      </w:r>
      <w:r w:rsidR="00A64A69">
        <w:rPr>
          <w:b/>
          <w:bCs w:val="0"/>
        </w:rPr>
        <w:t>ing</w:t>
      </w:r>
      <w:r w:rsidR="009D1BF6">
        <w:rPr>
          <w:b/>
          <w:bCs w:val="0"/>
        </w:rPr>
        <w:t xml:space="preserve"> Creat</w:t>
      </w:r>
      <w:r w:rsidR="00A64A69">
        <w:rPr>
          <w:b/>
          <w:bCs w:val="0"/>
        </w:rPr>
        <w:t>ion of</w:t>
      </w:r>
      <w:r w:rsidR="009D1BF6">
        <w:rPr>
          <w:b/>
          <w:bCs w:val="0"/>
        </w:rPr>
        <w:t xml:space="preserve"> Subsidiary Entities to Commercialize Research</w:t>
      </w:r>
      <w:r w:rsidR="00E865F0" w:rsidRPr="00E865F0">
        <w:rPr>
          <w:b/>
        </w:rPr>
        <w:t xml:space="preserve"> </w:t>
      </w:r>
    </w:p>
    <w:p w:rsidR="00631E6B" w:rsidRPr="007915FD" w:rsidRDefault="00631E6B" w:rsidP="00F14C52">
      <w:pPr>
        <w:tabs>
          <w:tab w:val="right" w:pos="8640"/>
        </w:tabs>
        <w:ind w:left="1620" w:hanging="900"/>
        <w:jc w:val="both"/>
        <w:rPr>
          <w:b/>
        </w:rPr>
      </w:pPr>
      <w:r w:rsidRPr="007915FD">
        <w:rPr>
          <w:b/>
        </w:rPr>
        <w:t>IV.</w:t>
      </w:r>
      <w:r w:rsidRPr="007915FD">
        <w:rPr>
          <w:b/>
        </w:rPr>
        <w:tab/>
      </w:r>
      <w:r w:rsidR="007915FD" w:rsidRPr="007915FD">
        <w:rPr>
          <w:b/>
        </w:rPr>
        <w:t>Adjourn</w:t>
      </w:r>
    </w:p>
    <w:p w:rsidR="0042036C" w:rsidRDefault="0042036C" w:rsidP="0042036C">
      <w:pPr>
        <w:ind w:left="720" w:hanging="720"/>
        <w:jc w:val="both"/>
        <w:rPr>
          <w:b/>
          <w:u w:val="single"/>
        </w:rPr>
      </w:pPr>
    </w:p>
    <w:p w:rsidR="00E219DA" w:rsidRPr="00E219DA" w:rsidRDefault="00E219DA" w:rsidP="0042036C">
      <w:pPr>
        <w:ind w:left="720" w:hanging="720"/>
        <w:jc w:val="both"/>
        <w:rPr>
          <w:b/>
        </w:rPr>
      </w:pPr>
      <w:r>
        <w:rPr>
          <w:b/>
        </w:rPr>
        <w:tab/>
      </w:r>
      <w:r w:rsidRPr="00B51EE2">
        <w:rPr>
          <w:b/>
          <w:szCs w:val="24"/>
        </w:rPr>
        <w:t xml:space="preserve">This motion is effective </w:t>
      </w:r>
      <w:r>
        <w:rPr>
          <w:b/>
          <w:szCs w:val="24"/>
        </w:rPr>
        <w:t>July 27, 2012.”</w:t>
      </w:r>
    </w:p>
    <w:p w:rsidR="00E219DA" w:rsidRDefault="00E219DA" w:rsidP="0042036C">
      <w:pPr>
        <w:ind w:left="720" w:hanging="720"/>
        <w:jc w:val="both"/>
        <w:rPr>
          <w:b/>
          <w:u w:val="single"/>
        </w:rPr>
      </w:pPr>
    </w:p>
    <w:p w:rsidR="00E865F0" w:rsidRDefault="0042036C" w:rsidP="00E865F0">
      <w:pPr>
        <w:ind w:left="720" w:hanging="720"/>
        <w:jc w:val="both"/>
        <w:rPr>
          <w:b/>
          <w:bCs w:val="0"/>
          <w:u w:val="single"/>
        </w:rPr>
      </w:pPr>
      <w:r w:rsidRPr="002C5A37">
        <w:rPr>
          <w:b/>
        </w:rPr>
        <w:t>III.</w:t>
      </w:r>
      <w:r w:rsidRPr="002C5A37">
        <w:rPr>
          <w:b/>
        </w:rPr>
        <w:tab/>
      </w:r>
      <w:r w:rsidR="00067936" w:rsidRPr="00067936">
        <w:rPr>
          <w:b/>
          <w:u w:val="single"/>
        </w:rPr>
        <w:t xml:space="preserve">Resolution </w:t>
      </w:r>
      <w:r w:rsidR="00067936" w:rsidRPr="00067936">
        <w:rPr>
          <w:b/>
          <w:bCs w:val="0"/>
          <w:u w:val="single"/>
        </w:rPr>
        <w:t>Authorizing Creation of</w:t>
      </w:r>
      <w:r w:rsidR="009D1BF6">
        <w:rPr>
          <w:b/>
          <w:bCs w:val="0"/>
          <w:u w:val="single"/>
        </w:rPr>
        <w:t xml:space="preserve"> Subsidiary Entities to Commercialize Research</w:t>
      </w:r>
    </w:p>
    <w:p w:rsidR="00F14C52" w:rsidRPr="00F14C52" w:rsidRDefault="00E219DA" w:rsidP="00E219DA">
      <w:pPr>
        <w:ind w:left="7200"/>
        <w:jc w:val="both"/>
      </w:pPr>
      <w:r>
        <w:t xml:space="preserve">      </w:t>
      </w:r>
      <w:r w:rsidR="00F14C52">
        <w:t>Reference</w:t>
      </w:r>
      <w:r w:rsidR="00A10A71">
        <w:t>s</w:t>
      </w:r>
      <w:r w:rsidR="00F14C52">
        <w:t xml:space="preserve"> 1</w:t>
      </w:r>
      <w:r>
        <w:t xml:space="preserve"> &amp; 2</w:t>
      </w:r>
    </w:p>
    <w:p w:rsidR="00F32A8E" w:rsidRDefault="00F32A8E" w:rsidP="00162D11">
      <w:pPr>
        <w:pStyle w:val="Heading2"/>
        <w:tabs>
          <w:tab w:val="left" w:pos="720"/>
        </w:tabs>
        <w:ind w:left="720"/>
        <w:jc w:val="both"/>
        <w:rPr>
          <w:rFonts w:ascii="Times New Roman" w:hAnsi="Times New Roman"/>
          <w:i w:val="0"/>
          <w:sz w:val="24"/>
          <w:u w:val="single"/>
        </w:rPr>
      </w:pPr>
      <w:r w:rsidRPr="00C47B0D">
        <w:rPr>
          <w:rFonts w:ascii="Times New Roman" w:hAnsi="Times New Roman"/>
          <w:b w:val="0"/>
          <w:i w:val="0"/>
          <w:sz w:val="24"/>
          <w:szCs w:val="24"/>
        </w:rPr>
        <w:t xml:space="preserve">Regent </w:t>
      </w:r>
      <w:proofErr w:type="spellStart"/>
      <w:r>
        <w:rPr>
          <w:rFonts w:ascii="Times New Roman" w:hAnsi="Times New Roman"/>
          <w:b w:val="0"/>
          <w:i w:val="0"/>
          <w:sz w:val="24"/>
          <w:szCs w:val="24"/>
        </w:rPr>
        <w:t>Marrs</w:t>
      </w:r>
      <w:proofErr w:type="spellEnd"/>
      <w:r w:rsidRPr="00C47B0D">
        <w:rPr>
          <w:rFonts w:ascii="Times New Roman" w:hAnsi="Times New Roman"/>
          <w:b w:val="0"/>
          <w:i w:val="0"/>
          <w:sz w:val="24"/>
          <w:szCs w:val="24"/>
        </w:rPr>
        <w:t xml:space="preserve"> moved, seconded by Regent </w:t>
      </w:r>
      <w:r>
        <w:rPr>
          <w:rFonts w:ascii="Times New Roman" w:hAnsi="Times New Roman"/>
          <w:b w:val="0"/>
          <w:i w:val="0"/>
          <w:sz w:val="24"/>
          <w:szCs w:val="24"/>
        </w:rPr>
        <w:t>Fisher</w:t>
      </w:r>
      <w:r w:rsidRPr="00C47B0D">
        <w:rPr>
          <w:rFonts w:ascii="Times New Roman" w:hAnsi="Times New Roman"/>
          <w:b w:val="0"/>
          <w:i w:val="0"/>
          <w:sz w:val="24"/>
          <w:szCs w:val="24"/>
        </w:rPr>
        <w:t xml:space="preserve"> and passed with </w:t>
      </w:r>
      <w:r>
        <w:rPr>
          <w:rFonts w:ascii="Times New Roman" w:hAnsi="Times New Roman"/>
          <w:b w:val="0"/>
          <w:bCs w:val="0"/>
          <w:i w:val="0"/>
          <w:sz w:val="24"/>
          <w:szCs w:val="24"/>
        </w:rPr>
        <w:t xml:space="preserve">Regents Anderson, Brady, </w:t>
      </w:r>
      <w:r w:rsidRPr="00C47B0D">
        <w:rPr>
          <w:rFonts w:ascii="Times New Roman" w:hAnsi="Times New Roman"/>
          <w:b w:val="0"/>
          <w:bCs w:val="0"/>
          <w:i w:val="0"/>
          <w:sz w:val="24"/>
          <w:szCs w:val="24"/>
        </w:rPr>
        <w:t xml:space="preserve">Cowell, Fisher, </w:t>
      </w:r>
      <w:proofErr w:type="spellStart"/>
      <w:r>
        <w:rPr>
          <w:rFonts w:ascii="Times New Roman" w:hAnsi="Times New Roman"/>
          <w:b w:val="0"/>
          <w:bCs w:val="0"/>
          <w:i w:val="0"/>
          <w:sz w:val="24"/>
          <w:szCs w:val="24"/>
        </w:rPr>
        <w:t>Freitag</w:t>
      </w:r>
      <w:proofErr w:type="spellEnd"/>
      <w:r>
        <w:rPr>
          <w:rFonts w:ascii="Times New Roman" w:hAnsi="Times New Roman"/>
          <w:b w:val="0"/>
          <w:bCs w:val="0"/>
          <w:i w:val="0"/>
          <w:sz w:val="24"/>
          <w:szCs w:val="24"/>
        </w:rPr>
        <w:t xml:space="preserve">, Heckman, </w:t>
      </w:r>
      <w:proofErr w:type="spellStart"/>
      <w:r w:rsidR="00702BDB">
        <w:rPr>
          <w:rFonts w:ascii="Times New Roman" w:hAnsi="Times New Roman"/>
          <w:b w:val="0"/>
          <w:bCs w:val="0"/>
          <w:i w:val="0"/>
          <w:sz w:val="24"/>
          <w:szCs w:val="24"/>
        </w:rPr>
        <w:t>Marrs</w:t>
      </w:r>
      <w:proofErr w:type="spellEnd"/>
      <w:r w:rsidRPr="00C47B0D">
        <w:rPr>
          <w:rFonts w:ascii="Times New Roman" w:hAnsi="Times New Roman"/>
          <w:b w:val="0"/>
          <w:bCs w:val="0"/>
          <w:i w:val="0"/>
          <w:sz w:val="24"/>
          <w:szCs w:val="24"/>
        </w:rPr>
        <w:t>, and Jacobson voting in favor that:</w:t>
      </w:r>
    </w:p>
    <w:p w:rsidR="005C550A" w:rsidRDefault="005C550A" w:rsidP="00B51EE2">
      <w:pPr>
        <w:ind w:firstLine="720"/>
        <w:jc w:val="both"/>
        <w:rPr>
          <w:b/>
          <w:szCs w:val="24"/>
          <w:u w:val="single"/>
        </w:rPr>
      </w:pPr>
    </w:p>
    <w:p w:rsidR="00B51EE2" w:rsidRPr="00B51EE2" w:rsidRDefault="00F32A8E" w:rsidP="00B51EE2">
      <w:pPr>
        <w:ind w:firstLine="720"/>
        <w:jc w:val="both"/>
        <w:rPr>
          <w:b/>
          <w:szCs w:val="24"/>
          <w:u w:val="single"/>
        </w:rPr>
      </w:pPr>
      <w:r>
        <w:rPr>
          <w:b/>
          <w:szCs w:val="24"/>
          <w:u w:val="single"/>
        </w:rPr>
        <w:t>PASSED</w:t>
      </w:r>
    </w:p>
    <w:p w:rsidR="00E865F0" w:rsidRDefault="00E219DA" w:rsidP="00E219DA">
      <w:pPr>
        <w:ind w:left="720"/>
        <w:jc w:val="both"/>
        <w:rPr>
          <w:szCs w:val="24"/>
        </w:rPr>
      </w:pPr>
      <w:r>
        <w:rPr>
          <w:b/>
          <w:szCs w:val="24"/>
        </w:rPr>
        <w:t>“</w:t>
      </w:r>
      <w:r w:rsidR="00B51EE2" w:rsidRPr="00B51EE2">
        <w:rPr>
          <w:b/>
          <w:szCs w:val="24"/>
        </w:rPr>
        <w:t>The Board of Regents adopt</w:t>
      </w:r>
      <w:r w:rsidR="00A24C57">
        <w:rPr>
          <w:b/>
          <w:szCs w:val="24"/>
        </w:rPr>
        <w:t>s</w:t>
      </w:r>
      <w:r w:rsidR="00B51EE2" w:rsidRPr="00B51EE2">
        <w:rPr>
          <w:b/>
          <w:szCs w:val="24"/>
        </w:rPr>
        <w:t xml:space="preserve"> the resolution </w:t>
      </w:r>
      <w:r w:rsidR="00A64A69">
        <w:rPr>
          <w:b/>
          <w:szCs w:val="24"/>
        </w:rPr>
        <w:t>authorizing</w:t>
      </w:r>
      <w:r w:rsidR="00B51EE2">
        <w:rPr>
          <w:b/>
          <w:szCs w:val="24"/>
        </w:rPr>
        <w:t xml:space="preserve"> creation of subsidiar</w:t>
      </w:r>
      <w:r w:rsidR="00A24C57">
        <w:rPr>
          <w:b/>
          <w:szCs w:val="24"/>
        </w:rPr>
        <w:t>y entities</w:t>
      </w:r>
      <w:r w:rsidR="00A64A69">
        <w:rPr>
          <w:b/>
          <w:szCs w:val="24"/>
        </w:rPr>
        <w:t xml:space="preserve"> </w:t>
      </w:r>
      <w:r w:rsidR="005C550A">
        <w:rPr>
          <w:b/>
          <w:szCs w:val="24"/>
        </w:rPr>
        <w:t>to com</w:t>
      </w:r>
      <w:r>
        <w:rPr>
          <w:b/>
          <w:szCs w:val="24"/>
        </w:rPr>
        <w:t>m</w:t>
      </w:r>
      <w:r w:rsidR="005C550A">
        <w:rPr>
          <w:b/>
          <w:szCs w:val="24"/>
        </w:rPr>
        <w:t xml:space="preserve">ercialize UA research </w:t>
      </w:r>
      <w:r w:rsidR="00A64A69">
        <w:rPr>
          <w:b/>
          <w:szCs w:val="24"/>
        </w:rPr>
        <w:t>as presented</w:t>
      </w:r>
      <w:r w:rsidR="00B51EE2">
        <w:rPr>
          <w:b/>
          <w:szCs w:val="24"/>
        </w:rPr>
        <w:t>.</w:t>
      </w:r>
      <w:r w:rsidR="00B51EE2" w:rsidRPr="00B51EE2">
        <w:rPr>
          <w:b/>
          <w:szCs w:val="24"/>
        </w:rPr>
        <w:t xml:space="preserve"> This motion is effective </w:t>
      </w:r>
      <w:r w:rsidR="00B51EE2">
        <w:rPr>
          <w:b/>
          <w:szCs w:val="24"/>
        </w:rPr>
        <w:t>July 27</w:t>
      </w:r>
      <w:r>
        <w:rPr>
          <w:b/>
          <w:szCs w:val="24"/>
        </w:rPr>
        <w:t>, 2012.”</w:t>
      </w:r>
    </w:p>
    <w:p w:rsidR="00E865F0" w:rsidRPr="00E24851" w:rsidRDefault="00E865F0" w:rsidP="00E865F0">
      <w:pPr>
        <w:jc w:val="both"/>
        <w:rPr>
          <w:szCs w:val="24"/>
        </w:rPr>
      </w:pPr>
    </w:p>
    <w:p w:rsidR="00C14CED" w:rsidRPr="009933F7" w:rsidRDefault="00C14CED" w:rsidP="00C14CED">
      <w:pPr>
        <w:autoSpaceDE w:val="0"/>
        <w:autoSpaceDN w:val="0"/>
        <w:adjustRightInd w:val="0"/>
        <w:ind w:left="720"/>
        <w:jc w:val="both"/>
        <w:rPr>
          <w:szCs w:val="24"/>
        </w:rPr>
      </w:pPr>
      <w:r w:rsidRPr="009933F7">
        <w:rPr>
          <w:szCs w:val="24"/>
        </w:rPr>
        <w:t xml:space="preserve">WHEREAS, the Board of Regents finds that it is in the interest of the public and the University of Alaska (the “University”) to commercialize intellectual property resulting from research conducted at and under the supervision of the University, and to do so through a variety of means, including without limitation, for-profit subsidiaries of the University. </w:t>
      </w:r>
    </w:p>
    <w:p w:rsidR="00C14CED" w:rsidRPr="009933F7" w:rsidRDefault="00C14CED" w:rsidP="00C14CED">
      <w:pPr>
        <w:autoSpaceDE w:val="0"/>
        <w:autoSpaceDN w:val="0"/>
        <w:adjustRightInd w:val="0"/>
        <w:ind w:firstLine="720"/>
        <w:jc w:val="both"/>
        <w:rPr>
          <w:szCs w:val="24"/>
        </w:rPr>
      </w:pPr>
    </w:p>
    <w:p w:rsidR="00A64A69" w:rsidRPr="00A64A69" w:rsidRDefault="00C14CED" w:rsidP="00C14CED">
      <w:pPr>
        <w:ind w:left="720"/>
        <w:jc w:val="both"/>
        <w:rPr>
          <w:szCs w:val="24"/>
        </w:rPr>
      </w:pPr>
      <w:r w:rsidRPr="009933F7">
        <w:rPr>
          <w:szCs w:val="24"/>
        </w:rPr>
        <w:t>NOW, THEREFORE, BE IT RESOLVED, that pursuant to AS 14.40.458, the Board of Regents authorizes the president, and through the president, the chancellor and chancellor’s designees (the “</w:t>
      </w:r>
      <w:r w:rsidRPr="009933F7">
        <w:rPr>
          <w:szCs w:val="24"/>
          <w:u w:val="single"/>
        </w:rPr>
        <w:t>Authorized Persons</w:t>
      </w:r>
      <w:r w:rsidRPr="009933F7">
        <w:rPr>
          <w:szCs w:val="24"/>
        </w:rPr>
        <w:t>”), (</w:t>
      </w:r>
      <w:proofErr w:type="spellStart"/>
      <w:r w:rsidRPr="009933F7">
        <w:rPr>
          <w:szCs w:val="24"/>
        </w:rPr>
        <w:t>i</w:t>
      </w:r>
      <w:proofErr w:type="spellEnd"/>
      <w:r w:rsidRPr="009933F7">
        <w:rPr>
          <w:szCs w:val="24"/>
        </w:rPr>
        <w:t>) to form on behalf of the University, a wholly-own</w:t>
      </w:r>
      <w:r w:rsidR="00EA43D0">
        <w:rPr>
          <w:szCs w:val="24"/>
        </w:rPr>
        <w:t>ed for-profit holding company (for ease of reference, hereafter “</w:t>
      </w:r>
      <w:r w:rsidRPr="009933F7">
        <w:rPr>
          <w:szCs w:val="24"/>
          <w:u w:val="single"/>
        </w:rPr>
        <w:t>Hold Co</w:t>
      </w:r>
      <w:r w:rsidRPr="009933F7">
        <w:rPr>
          <w:szCs w:val="24"/>
        </w:rPr>
        <w:t xml:space="preserve">”), for the purpose of holding and commercializing such intellectual property rights as they deem necessary and appropriate, and to manage Hold Co and delegate such authorities and duties as may be necessary and appropriate, </w:t>
      </w:r>
      <w:r w:rsidRPr="009933F7">
        <w:rPr>
          <w:color w:val="000000"/>
          <w:szCs w:val="24"/>
        </w:rPr>
        <w:t xml:space="preserve">subject to any approval rights over any matters that may be expressly reserved for the Board of Regents in Hold </w:t>
      </w:r>
      <w:proofErr w:type="spellStart"/>
      <w:r w:rsidRPr="009933F7">
        <w:rPr>
          <w:color w:val="000000"/>
          <w:szCs w:val="24"/>
        </w:rPr>
        <w:t>Co’s</w:t>
      </w:r>
      <w:proofErr w:type="spellEnd"/>
      <w:r w:rsidRPr="009933F7">
        <w:rPr>
          <w:color w:val="000000"/>
          <w:szCs w:val="24"/>
        </w:rPr>
        <w:t xml:space="preserve"> operating agreement</w:t>
      </w:r>
      <w:r w:rsidRPr="009933F7">
        <w:rPr>
          <w:szCs w:val="24"/>
        </w:rPr>
        <w:t xml:space="preserve">, (ii) to cause Hold Co to enter into transactions and to form and manage subsidiaries and such other entities, and to cause such subsidiaries and other entities to enter into transactions as the Authorized Persons deem necessary and appropriate and consistent with the functions and purposes set forth in the </w:t>
      </w:r>
      <w:r w:rsidRPr="009933F7">
        <w:rPr>
          <w:szCs w:val="24"/>
        </w:rPr>
        <w:lastRenderedPageBreak/>
        <w:t xml:space="preserve">commercialization plan presented to the Board of Regents, (iii) to </w:t>
      </w:r>
      <w:r w:rsidRPr="009933F7">
        <w:rPr>
          <w:color w:val="000000"/>
          <w:szCs w:val="24"/>
        </w:rPr>
        <w:t xml:space="preserve">negotiate, execute and deliver, as appropriate, all documents related to such commercialization plan with such changes thereto as the Authorized Persons negotiating and executing the same shall approve in their sole discretion, subject to any approval rights over any matters that may be expressly reserved for the Board of Regents in any such documents, such execution and delivery thereof by the Authorized Persons to be conclusive evidence of such approval where Board of Regents approval is not so required, and (iv) to take such further action </w:t>
      </w:r>
      <w:r w:rsidRPr="009933F7">
        <w:rPr>
          <w:bCs w:val="0"/>
          <w:color w:val="000000"/>
          <w:szCs w:val="24"/>
        </w:rPr>
        <w:t>as they may deem necessary or appropriate in order to implement fully each and all of the foregoing actions</w:t>
      </w:r>
      <w:r w:rsidRPr="009933F7">
        <w:rPr>
          <w:szCs w:val="24"/>
        </w:rPr>
        <w:t>.</w:t>
      </w:r>
      <w:r w:rsidR="00A64A69" w:rsidRPr="00A64A69">
        <w:rPr>
          <w:szCs w:val="24"/>
        </w:rPr>
        <w:t xml:space="preserve"> This resolution is effective </w:t>
      </w:r>
      <w:r w:rsidR="00067936">
        <w:rPr>
          <w:szCs w:val="24"/>
        </w:rPr>
        <w:t>July 27, 2012</w:t>
      </w:r>
      <w:r w:rsidR="00A64A69" w:rsidRPr="00A64A69">
        <w:rPr>
          <w:szCs w:val="24"/>
        </w:rPr>
        <w:t>.</w:t>
      </w:r>
      <w:r w:rsidR="005C550A">
        <w:rPr>
          <w:szCs w:val="24"/>
        </w:rPr>
        <w:t>”</w:t>
      </w:r>
    </w:p>
    <w:p w:rsidR="00A10A71" w:rsidRDefault="00A10A71">
      <w:pPr>
        <w:rPr>
          <w:b/>
          <w:szCs w:val="24"/>
        </w:rPr>
      </w:pPr>
    </w:p>
    <w:p w:rsidR="00E865F0" w:rsidRPr="00A10A71" w:rsidRDefault="00E865F0" w:rsidP="00E865F0">
      <w:pPr>
        <w:ind w:left="720"/>
        <w:jc w:val="both"/>
        <w:rPr>
          <w:szCs w:val="24"/>
        </w:rPr>
      </w:pPr>
      <w:r w:rsidRPr="00A10A71">
        <w:rPr>
          <w:szCs w:val="24"/>
        </w:rPr>
        <w:t>RATIONALE AND RECOMMENDATION</w:t>
      </w:r>
    </w:p>
    <w:p w:rsidR="00677A44" w:rsidRDefault="00677A44" w:rsidP="00677A44">
      <w:pPr>
        <w:ind w:left="720"/>
        <w:jc w:val="both"/>
        <w:rPr>
          <w:szCs w:val="24"/>
        </w:rPr>
      </w:pPr>
      <w:r w:rsidRPr="00DE2D5E">
        <w:rPr>
          <w:szCs w:val="24"/>
        </w:rPr>
        <w:t xml:space="preserve">As presented at the June </w:t>
      </w:r>
      <w:r w:rsidR="004F5FA4">
        <w:rPr>
          <w:szCs w:val="24"/>
        </w:rPr>
        <w:t xml:space="preserve">2012 </w:t>
      </w:r>
      <w:r w:rsidRPr="00DE2D5E">
        <w:rPr>
          <w:szCs w:val="24"/>
        </w:rPr>
        <w:t>Board of Regents</w:t>
      </w:r>
      <w:r w:rsidR="004F5FA4">
        <w:rPr>
          <w:szCs w:val="24"/>
        </w:rPr>
        <w:t>’</w:t>
      </w:r>
      <w:r w:rsidRPr="00DE2D5E">
        <w:rPr>
          <w:szCs w:val="24"/>
        </w:rPr>
        <w:t xml:space="preserve"> meeting, UAA is requesting board approval to commercialize UA research through formati</w:t>
      </w:r>
      <w:r w:rsidR="004F5FA4">
        <w:rPr>
          <w:szCs w:val="24"/>
        </w:rPr>
        <w:t xml:space="preserve">on of for-profit subsidiaries. </w:t>
      </w:r>
      <w:r w:rsidRPr="00DE2D5E">
        <w:rPr>
          <w:szCs w:val="24"/>
        </w:rPr>
        <w:t>These wholly</w:t>
      </w:r>
      <w:r w:rsidR="00F10461">
        <w:rPr>
          <w:szCs w:val="24"/>
        </w:rPr>
        <w:t>-</w:t>
      </w:r>
      <w:r w:rsidRPr="00DE2D5E">
        <w:rPr>
          <w:szCs w:val="24"/>
        </w:rPr>
        <w:t xml:space="preserve">owned UA subsidiaries in turn will collaborate with private sector firms and startups to commercialize </w:t>
      </w:r>
      <w:r w:rsidR="00166B06">
        <w:rPr>
          <w:szCs w:val="24"/>
        </w:rPr>
        <w:t>u</w:t>
      </w:r>
      <w:r w:rsidRPr="00DE2D5E">
        <w:rPr>
          <w:szCs w:val="24"/>
        </w:rPr>
        <w:t xml:space="preserve">niversity intellectual property. The LLC structure described in Reference 1 has been developed in consultation with Patton-Boggs and </w:t>
      </w:r>
      <w:r w:rsidR="004F5FA4">
        <w:rPr>
          <w:szCs w:val="24"/>
        </w:rPr>
        <w:t xml:space="preserve">UA </w:t>
      </w:r>
      <w:r w:rsidRPr="00DE2D5E">
        <w:rPr>
          <w:szCs w:val="24"/>
        </w:rPr>
        <w:t xml:space="preserve">General Counsel and is designed to safeguard the </w:t>
      </w:r>
      <w:r w:rsidR="004F5FA4">
        <w:rPr>
          <w:szCs w:val="24"/>
        </w:rPr>
        <w:t>u</w:t>
      </w:r>
      <w:r w:rsidRPr="00DE2D5E">
        <w:rPr>
          <w:szCs w:val="24"/>
        </w:rPr>
        <w:t>niversity’s interests while remaining responsive to external investment opportunities.</w:t>
      </w:r>
    </w:p>
    <w:p w:rsidR="00677A44" w:rsidRPr="00DE2D5E" w:rsidRDefault="00677A44" w:rsidP="00677A44">
      <w:pPr>
        <w:jc w:val="both"/>
        <w:rPr>
          <w:szCs w:val="24"/>
        </w:rPr>
      </w:pPr>
    </w:p>
    <w:p w:rsidR="00E219DA" w:rsidRDefault="00677A44" w:rsidP="00677A44">
      <w:pPr>
        <w:tabs>
          <w:tab w:val="left" w:pos="720"/>
        </w:tabs>
        <w:ind w:left="720"/>
        <w:jc w:val="both"/>
        <w:rPr>
          <w:bCs w:val="0"/>
          <w:szCs w:val="24"/>
        </w:rPr>
      </w:pPr>
      <w:r w:rsidRPr="00DE2D5E">
        <w:rPr>
          <w:szCs w:val="24"/>
        </w:rPr>
        <w:t>UAA initially will operate the holding co</w:t>
      </w:r>
      <w:r w:rsidR="004F5FA4">
        <w:rPr>
          <w:szCs w:val="24"/>
        </w:rPr>
        <w:t xml:space="preserve">mpany as a member-managed LLC. </w:t>
      </w:r>
      <w:r w:rsidR="00C44195">
        <w:rPr>
          <w:szCs w:val="24"/>
        </w:rPr>
        <w:t>Reference 2 is the i</w:t>
      </w:r>
      <w:r w:rsidRPr="00DE2D5E">
        <w:rPr>
          <w:szCs w:val="24"/>
        </w:rPr>
        <w:t>nitial operating agreement</w:t>
      </w:r>
      <w:r w:rsidR="00C44195">
        <w:rPr>
          <w:szCs w:val="24"/>
        </w:rPr>
        <w:t>.</w:t>
      </w:r>
      <w:r w:rsidRPr="00DE2D5E">
        <w:rPr>
          <w:szCs w:val="24"/>
        </w:rPr>
        <w:t xml:space="preserve"> UAA eventually will seek regent approval of a </w:t>
      </w:r>
      <w:r w:rsidRPr="00A24C57">
        <w:rPr>
          <w:szCs w:val="24"/>
        </w:rPr>
        <w:t>board of directors to operate the holding company</w:t>
      </w:r>
      <w:r w:rsidRPr="00DE2D5E">
        <w:rPr>
          <w:szCs w:val="24"/>
        </w:rPr>
        <w:t xml:space="preserve">. UAA will work with external </w:t>
      </w:r>
      <w:r w:rsidR="004F5FA4">
        <w:rPr>
          <w:szCs w:val="24"/>
        </w:rPr>
        <w:t xml:space="preserve">counsel </w:t>
      </w:r>
      <w:r w:rsidRPr="00DE2D5E">
        <w:rPr>
          <w:szCs w:val="24"/>
        </w:rPr>
        <w:t xml:space="preserve">and </w:t>
      </w:r>
      <w:r w:rsidR="004F5FA4">
        <w:rPr>
          <w:szCs w:val="24"/>
        </w:rPr>
        <w:t xml:space="preserve">UA </w:t>
      </w:r>
      <w:r w:rsidRPr="00DE2D5E">
        <w:rPr>
          <w:szCs w:val="24"/>
        </w:rPr>
        <w:t>General Counsel on an ongoing basis to develop the additional subsidiaries contemplated by the plan.</w:t>
      </w:r>
    </w:p>
    <w:p w:rsidR="00E219DA" w:rsidRDefault="00E219DA" w:rsidP="00E219DA">
      <w:pPr>
        <w:tabs>
          <w:tab w:val="left" w:pos="720"/>
        </w:tabs>
        <w:ind w:left="720"/>
        <w:jc w:val="both"/>
        <w:rPr>
          <w:b/>
        </w:rPr>
      </w:pPr>
    </w:p>
    <w:p w:rsidR="0042036C" w:rsidRDefault="009D1BF6" w:rsidP="003400B2">
      <w:pPr>
        <w:spacing w:line="360" w:lineRule="auto"/>
        <w:jc w:val="both"/>
        <w:rPr>
          <w:b/>
          <w:u w:val="single"/>
        </w:rPr>
      </w:pPr>
      <w:r>
        <w:rPr>
          <w:b/>
        </w:rPr>
        <w:t>I</w:t>
      </w:r>
      <w:r w:rsidR="006B2BED" w:rsidRPr="00374FDE">
        <w:rPr>
          <w:b/>
        </w:rPr>
        <w:t>V.</w:t>
      </w:r>
      <w:r w:rsidR="006B2BED" w:rsidRPr="006B2BED">
        <w:rPr>
          <w:b/>
        </w:rPr>
        <w:tab/>
      </w:r>
      <w:r w:rsidR="006B2BED" w:rsidRPr="006B2BED">
        <w:rPr>
          <w:b/>
          <w:u w:val="single"/>
        </w:rPr>
        <w:t>Adjourn</w:t>
      </w:r>
    </w:p>
    <w:p w:rsidR="00F32A8E" w:rsidRDefault="00F32A8E" w:rsidP="00F32A8E">
      <w:pPr>
        <w:ind w:right="360" w:firstLine="720"/>
        <w:jc w:val="both"/>
      </w:pPr>
      <w:r>
        <w:t>Chair Jacobson adjourned the meeting at 10:45 a.m. on Friday, July 27, 2012.</w:t>
      </w:r>
    </w:p>
    <w:p w:rsidR="00F32A8E" w:rsidRPr="00F32A8E" w:rsidRDefault="00F32A8E" w:rsidP="00F32A8E">
      <w:pPr>
        <w:spacing w:line="360" w:lineRule="auto"/>
        <w:ind w:firstLine="720"/>
        <w:jc w:val="both"/>
      </w:pPr>
    </w:p>
    <w:p w:rsidR="00F32A8E" w:rsidRPr="006B2BED" w:rsidRDefault="00F32A8E" w:rsidP="003400B2">
      <w:pPr>
        <w:spacing w:line="360" w:lineRule="auto"/>
        <w:jc w:val="both"/>
        <w:rPr>
          <w:b/>
        </w:rPr>
      </w:pPr>
    </w:p>
    <w:sectPr w:rsidR="00F32A8E" w:rsidRPr="006B2BED" w:rsidSect="002C7F6D">
      <w:headerReference w:type="default" r:id="rId9"/>
      <w:footerReference w:type="default" r:id="rId10"/>
      <w:footerReference w:type="first" r:id="rId11"/>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06" w:rsidRDefault="00166B06" w:rsidP="002C7F6D">
      <w:r>
        <w:separator/>
      </w:r>
    </w:p>
  </w:endnote>
  <w:endnote w:type="continuationSeparator" w:id="0">
    <w:p w:rsidR="00166B06" w:rsidRDefault="00166B06" w:rsidP="002C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8110"/>
      <w:docPartObj>
        <w:docPartGallery w:val="Page Numbers (Bottom of Page)"/>
        <w:docPartUnique/>
      </w:docPartObj>
    </w:sdtPr>
    <w:sdtEndPr/>
    <w:sdtContent>
      <w:p w:rsidR="00162D11" w:rsidRDefault="00162D11" w:rsidP="00356DDA">
        <w:pPr>
          <w:pStyle w:val="Footer"/>
          <w:jc w:val="center"/>
        </w:pPr>
      </w:p>
      <w:p w:rsidR="00356DDA" w:rsidRDefault="00D25934" w:rsidP="00356DDA">
        <w:pPr>
          <w:pStyle w:val="Footer"/>
          <w:jc w:val="center"/>
        </w:pPr>
        <w:proofErr w:type="gramStart"/>
        <w:r>
          <w:rPr>
            <w:sz w:val="20"/>
          </w:rPr>
          <w:t>)</w:t>
        </w:r>
        <w:proofErr w:type="spellStart"/>
        <w:r w:rsidR="00356DDA">
          <w:rPr>
            <w:sz w:val="20"/>
          </w:rPr>
          <w:t>fficial</w:t>
        </w:r>
        <w:proofErr w:type="spellEnd"/>
        <w:proofErr w:type="gramEnd"/>
        <w:r w:rsidR="00356DDA">
          <w:rPr>
            <w:sz w:val="20"/>
          </w:rPr>
          <w:t xml:space="preserve"> Minutes of July 27, 2012:  Page </w:t>
        </w:r>
        <w:r w:rsidR="00356DDA" w:rsidRPr="00CC2A15">
          <w:rPr>
            <w:rStyle w:val="PageNumber"/>
            <w:sz w:val="20"/>
          </w:rPr>
          <w:fldChar w:fldCharType="begin"/>
        </w:r>
        <w:r w:rsidR="00356DDA" w:rsidRPr="00CC2A15">
          <w:rPr>
            <w:rStyle w:val="PageNumber"/>
            <w:sz w:val="20"/>
          </w:rPr>
          <w:instrText xml:space="preserve"> PAGE </w:instrText>
        </w:r>
        <w:r w:rsidR="00356DDA" w:rsidRPr="00CC2A15">
          <w:rPr>
            <w:rStyle w:val="PageNumber"/>
            <w:sz w:val="20"/>
          </w:rPr>
          <w:fldChar w:fldCharType="separate"/>
        </w:r>
        <w:r>
          <w:rPr>
            <w:rStyle w:val="PageNumber"/>
            <w:noProof/>
            <w:sz w:val="20"/>
          </w:rPr>
          <w:t>3</w:t>
        </w:r>
        <w:r w:rsidR="00356DDA" w:rsidRPr="00CC2A15">
          <w:rPr>
            <w:rStyle w:val="PageNumber"/>
            <w:sz w:val="20"/>
          </w:rPr>
          <w:fldChar w:fldCharType="end"/>
        </w:r>
        <w:r w:rsidR="00356DDA">
          <w:rPr>
            <w:rStyle w:val="PageNumber"/>
            <w:sz w:val="20"/>
          </w:rPr>
          <w:t xml:space="preserve"> of 3</w:t>
        </w:r>
      </w:p>
    </w:sdtContent>
  </w:sdt>
  <w:p w:rsidR="00166B06" w:rsidRDefault="00166B06" w:rsidP="00356DD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959787"/>
      <w:docPartObj>
        <w:docPartGallery w:val="Page Numbers (Bottom of Page)"/>
        <w:docPartUnique/>
      </w:docPartObj>
    </w:sdtPr>
    <w:sdtEndPr/>
    <w:sdtContent>
      <w:p w:rsidR="00356DDA" w:rsidRDefault="00D25934" w:rsidP="00356DDA">
        <w:pPr>
          <w:pStyle w:val="Footer"/>
          <w:jc w:val="center"/>
        </w:pPr>
        <w:r>
          <w:t>O</w:t>
        </w:r>
        <w:r w:rsidR="00356DDA">
          <w:rPr>
            <w:sz w:val="20"/>
          </w:rPr>
          <w:t xml:space="preserve">fficial Minutes of July 27, 2012:  Page </w:t>
        </w:r>
        <w:r w:rsidR="00356DDA" w:rsidRPr="00CC2A15">
          <w:rPr>
            <w:rStyle w:val="PageNumber"/>
            <w:sz w:val="20"/>
          </w:rPr>
          <w:fldChar w:fldCharType="begin"/>
        </w:r>
        <w:r w:rsidR="00356DDA" w:rsidRPr="00CC2A15">
          <w:rPr>
            <w:rStyle w:val="PageNumber"/>
            <w:sz w:val="20"/>
          </w:rPr>
          <w:instrText xml:space="preserve"> PAGE </w:instrText>
        </w:r>
        <w:r w:rsidR="00356DDA" w:rsidRPr="00CC2A15">
          <w:rPr>
            <w:rStyle w:val="PageNumber"/>
            <w:sz w:val="20"/>
          </w:rPr>
          <w:fldChar w:fldCharType="separate"/>
        </w:r>
        <w:r>
          <w:rPr>
            <w:rStyle w:val="PageNumber"/>
            <w:noProof/>
            <w:sz w:val="20"/>
          </w:rPr>
          <w:t>1</w:t>
        </w:r>
        <w:r w:rsidR="00356DDA" w:rsidRPr="00CC2A15">
          <w:rPr>
            <w:rStyle w:val="PageNumber"/>
            <w:sz w:val="20"/>
          </w:rPr>
          <w:fldChar w:fldCharType="end"/>
        </w:r>
        <w:r w:rsidR="00356DDA">
          <w:rPr>
            <w:rStyle w:val="PageNumber"/>
            <w:sz w:val="20"/>
          </w:rPr>
          <w:t xml:space="preserve"> of 3</w:t>
        </w:r>
      </w:p>
    </w:sdtContent>
  </w:sdt>
  <w:p w:rsidR="00166B06" w:rsidRDefault="00166B06" w:rsidP="00356D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06" w:rsidRDefault="00166B06" w:rsidP="002C7F6D">
      <w:r>
        <w:separator/>
      </w:r>
    </w:p>
  </w:footnote>
  <w:footnote w:type="continuationSeparator" w:id="0">
    <w:p w:rsidR="00166B06" w:rsidRDefault="00166B06" w:rsidP="002C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06" w:rsidRPr="002C7F6D" w:rsidRDefault="00D25934">
    <w:pPr>
      <w:pStyle w:val="Header"/>
      <w:rPr>
        <w:sz w:val="20"/>
      </w:rPr>
    </w:pPr>
    <w:r>
      <w:rPr>
        <w:sz w:val="20"/>
      </w:rPr>
      <w:t>O</w:t>
    </w:r>
    <w:r w:rsidR="00F32A8E">
      <w:rPr>
        <w:sz w:val="20"/>
      </w:rPr>
      <w:t>fficial Minutes</w:t>
    </w:r>
  </w:p>
  <w:p w:rsidR="00166B06" w:rsidRPr="002C7F6D" w:rsidRDefault="00166B06">
    <w:pPr>
      <w:pStyle w:val="Header"/>
      <w:rPr>
        <w:b/>
        <w:sz w:val="20"/>
      </w:rPr>
    </w:pPr>
    <w:r>
      <w:rPr>
        <w:b/>
        <w:sz w:val="20"/>
      </w:rPr>
      <w:t xml:space="preserve">Emergency </w:t>
    </w:r>
    <w:r w:rsidRPr="002C7F6D">
      <w:rPr>
        <w:b/>
        <w:sz w:val="20"/>
      </w:rPr>
      <w:t>Meeting of the Full Board</w:t>
    </w:r>
  </w:p>
  <w:p w:rsidR="00166B06" w:rsidRPr="002C7F6D" w:rsidRDefault="00166B06">
    <w:pPr>
      <w:pStyle w:val="Header"/>
      <w:rPr>
        <w:sz w:val="20"/>
      </w:rPr>
    </w:pPr>
    <w:r>
      <w:rPr>
        <w:sz w:val="20"/>
      </w:rPr>
      <w:t>July 27, 2012</w:t>
    </w:r>
  </w:p>
  <w:p w:rsidR="00166B06" w:rsidRPr="002C7F6D" w:rsidRDefault="00166B06">
    <w:pPr>
      <w:pStyle w:val="Header"/>
      <w:rPr>
        <w:sz w:val="20"/>
      </w:rPr>
    </w:pPr>
    <w:r w:rsidRPr="002C7F6D">
      <w:rPr>
        <w:sz w:val="20"/>
      </w:rPr>
      <w:t>Audio</w:t>
    </w:r>
    <w:r>
      <w:rPr>
        <w:sz w:val="20"/>
      </w:rPr>
      <w:t xml:space="preserve"> </w:t>
    </w:r>
    <w:r w:rsidR="00702BDB">
      <w:rPr>
        <w:sz w:val="20"/>
      </w:rPr>
      <w:t>C</w:t>
    </w:r>
    <w:r w:rsidRPr="002C7F6D">
      <w:rPr>
        <w:sz w:val="20"/>
      </w:rPr>
      <w:t>onference</w:t>
    </w:r>
  </w:p>
  <w:p w:rsidR="00166B06" w:rsidRDefault="00166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0D4D"/>
    <w:multiLevelType w:val="hybridMultilevel"/>
    <w:tmpl w:val="8CAC3232"/>
    <w:lvl w:ilvl="0" w:tplc="AD066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C7"/>
    <w:rsid w:val="00013611"/>
    <w:rsid w:val="00013BF3"/>
    <w:rsid w:val="00067936"/>
    <w:rsid w:val="000A65D5"/>
    <w:rsid w:val="000E1AAD"/>
    <w:rsid w:val="0010202B"/>
    <w:rsid w:val="00112EF5"/>
    <w:rsid w:val="00154915"/>
    <w:rsid w:val="00162D11"/>
    <w:rsid w:val="00166B06"/>
    <w:rsid w:val="001B4047"/>
    <w:rsid w:val="001F053F"/>
    <w:rsid w:val="00261CCF"/>
    <w:rsid w:val="002B63D7"/>
    <w:rsid w:val="002C7F6D"/>
    <w:rsid w:val="003209C7"/>
    <w:rsid w:val="003400B2"/>
    <w:rsid w:val="003464E6"/>
    <w:rsid w:val="00353EF8"/>
    <w:rsid w:val="003568F4"/>
    <w:rsid w:val="00356DDA"/>
    <w:rsid w:val="00374FDE"/>
    <w:rsid w:val="00390DC3"/>
    <w:rsid w:val="003A5747"/>
    <w:rsid w:val="003E5380"/>
    <w:rsid w:val="0042036C"/>
    <w:rsid w:val="00474727"/>
    <w:rsid w:val="00486EA0"/>
    <w:rsid w:val="004C527F"/>
    <w:rsid w:val="004F5FA4"/>
    <w:rsid w:val="00554F33"/>
    <w:rsid w:val="005942E4"/>
    <w:rsid w:val="005C550A"/>
    <w:rsid w:val="005D0D95"/>
    <w:rsid w:val="005E587B"/>
    <w:rsid w:val="00631E6B"/>
    <w:rsid w:val="006773C7"/>
    <w:rsid w:val="00677A44"/>
    <w:rsid w:val="00693B27"/>
    <w:rsid w:val="006B2BED"/>
    <w:rsid w:val="006C4E69"/>
    <w:rsid w:val="00702BDB"/>
    <w:rsid w:val="00710E5F"/>
    <w:rsid w:val="007223A1"/>
    <w:rsid w:val="00750072"/>
    <w:rsid w:val="00781711"/>
    <w:rsid w:val="007915FD"/>
    <w:rsid w:val="007D0F78"/>
    <w:rsid w:val="007F4804"/>
    <w:rsid w:val="008127A8"/>
    <w:rsid w:val="00833904"/>
    <w:rsid w:val="0083499E"/>
    <w:rsid w:val="008E1A72"/>
    <w:rsid w:val="00910CBD"/>
    <w:rsid w:val="00954766"/>
    <w:rsid w:val="009D1BF6"/>
    <w:rsid w:val="009D3E1F"/>
    <w:rsid w:val="00A10A71"/>
    <w:rsid w:val="00A14B49"/>
    <w:rsid w:val="00A24C57"/>
    <w:rsid w:val="00A2684D"/>
    <w:rsid w:val="00A35B75"/>
    <w:rsid w:val="00A37953"/>
    <w:rsid w:val="00A64A69"/>
    <w:rsid w:val="00A84804"/>
    <w:rsid w:val="00AE31BF"/>
    <w:rsid w:val="00B51EE2"/>
    <w:rsid w:val="00B619CE"/>
    <w:rsid w:val="00C14CED"/>
    <w:rsid w:val="00C36F1D"/>
    <w:rsid w:val="00C44195"/>
    <w:rsid w:val="00C74312"/>
    <w:rsid w:val="00CC437E"/>
    <w:rsid w:val="00D2400C"/>
    <w:rsid w:val="00D25934"/>
    <w:rsid w:val="00E219DA"/>
    <w:rsid w:val="00E2415B"/>
    <w:rsid w:val="00E3232E"/>
    <w:rsid w:val="00E556E1"/>
    <w:rsid w:val="00E730B1"/>
    <w:rsid w:val="00E865F0"/>
    <w:rsid w:val="00EA43D0"/>
    <w:rsid w:val="00ED5C5A"/>
    <w:rsid w:val="00F10461"/>
    <w:rsid w:val="00F12303"/>
    <w:rsid w:val="00F14C52"/>
    <w:rsid w:val="00F32A8E"/>
    <w:rsid w:val="00F74FF4"/>
    <w:rsid w:val="00FC57AB"/>
    <w:rsid w:val="00FE7548"/>
    <w:rsid w:val="00FF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C7"/>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semiHidden/>
    <w:unhideWhenUsed/>
    <w:qFormat/>
    <w:rsid w:val="0042036C"/>
    <w:pPr>
      <w:keepNext/>
      <w:spacing w:before="240" w:after="60"/>
      <w:outlineLvl w:val="1"/>
    </w:pPr>
    <w:rPr>
      <w:rFonts w:ascii="Cambria" w:hAnsi="Cambria"/>
      <w:b/>
      <w:i/>
      <w:iCs/>
      <w:sz w:val="28"/>
      <w:szCs w:val="28"/>
    </w:rPr>
  </w:style>
  <w:style w:type="paragraph" w:styleId="Heading7">
    <w:name w:val="heading 7"/>
    <w:basedOn w:val="Normal"/>
    <w:next w:val="Normal"/>
    <w:link w:val="Heading7Char"/>
    <w:qFormat/>
    <w:rsid w:val="0042036C"/>
    <w:pPr>
      <w:keepNext/>
      <w:ind w:left="1800" w:hanging="1080"/>
      <w:jc w:val="both"/>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36C"/>
    <w:rPr>
      <w:rFonts w:ascii="Cambria" w:eastAsia="Times New Roman" w:hAnsi="Cambria" w:cs="Times New Roman"/>
      <w:b/>
      <w:bCs/>
      <w:i/>
      <w:iCs/>
      <w:sz w:val="28"/>
      <w:szCs w:val="28"/>
    </w:rPr>
  </w:style>
  <w:style w:type="character" w:customStyle="1" w:styleId="Heading7Char">
    <w:name w:val="Heading 7 Char"/>
    <w:basedOn w:val="DefaultParagraphFont"/>
    <w:link w:val="Heading7"/>
    <w:rsid w:val="0042036C"/>
    <w:rPr>
      <w:rFonts w:ascii="Palatino" w:eastAsia="Times New Roman" w:hAnsi="Palatino" w:cs="Times New Roman"/>
      <w:b/>
      <w:bCs/>
      <w:szCs w:val="20"/>
    </w:rPr>
  </w:style>
  <w:style w:type="paragraph" w:styleId="Header">
    <w:name w:val="header"/>
    <w:basedOn w:val="Normal"/>
    <w:link w:val="HeaderChar"/>
    <w:uiPriority w:val="99"/>
    <w:unhideWhenUsed/>
    <w:rsid w:val="002C7F6D"/>
    <w:pPr>
      <w:tabs>
        <w:tab w:val="center" w:pos="4680"/>
        <w:tab w:val="right" w:pos="9360"/>
      </w:tabs>
    </w:pPr>
  </w:style>
  <w:style w:type="character" w:customStyle="1" w:styleId="HeaderChar">
    <w:name w:val="Header Char"/>
    <w:basedOn w:val="DefaultParagraphFont"/>
    <w:link w:val="Header"/>
    <w:uiPriority w:val="99"/>
    <w:rsid w:val="002C7F6D"/>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2C7F6D"/>
    <w:pPr>
      <w:tabs>
        <w:tab w:val="center" w:pos="4680"/>
        <w:tab w:val="right" w:pos="9360"/>
      </w:tabs>
    </w:pPr>
  </w:style>
  <w:style w:type="character" w:customStyle="1" w:styleId="FooterChar">
    <w:name w:val="Footer Char"/>
    <w:basedOn w:val="DefaultParagraphFont"/>
    <w:link w:val="Footer"/>
    <w:uiPriority w:val="99"/>
    <w:rsid w:val="002C7F6D"/>
    <w:rPr>
      <w:rFonts w:ascii="Times New Roman" w:eastAsia="Times New Roman" w:hAnsi="Times New Roman" w:cs="Times New Roman"/>
      <w:bCs/>
      <w:sz w:val="24"/>
      <w:szCs w:val="20"/>
    </w:rPr>
  </w:style>
  <w:style w:type="table" w:styleId="TableGrid">
    <w:name w:val="Table Grid"/>
    <w:basedOn w:val="TableNormal"/>
    <w:rsid w:val="00F14C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C52"/>
    <w:pPr>
      <w:ind w:left="720"/>
      <w:contextualSpacing/>
    </w:pPr>
    <w:rPr>
      <w:bCs w:val="0"/>
      <w:szCs w:val="24"/>
    </w:rPr>
  </w:style>
  <w:style w:type="character" w:styleId="PageNumber">
    <w:name w:val="page number"/>
    <w:basedOn w:val="DefaultParagraphFont"/>
    <w:rsid w:val="00356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C7"/>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semiHidden/>
    <w:unhideWhenUsed/>
    <w:qFormat/>
    <w:rsid w:val="0042036C"/>
    <w:pPr>
      <w:keepNext/>
      <w:spacing w:before="240" w:after="60"/>
      <w:outlineLvl w:val="1"/>
    </w:pPr>
    <w:rPr>
      <w:rFonts w:ascii="Cambria" w:hAnsi="Cambria"/>
      <w:b/>
      <w:i/>
      <w:iCs/>
      <w:sz w:val="28"/>
      <w:szCs w:val="28"/>
    </w:rPr>
  </w:style>
  <w:style w:type="paragraph" w:styleId="Heading7">
    <w:name w:val="heading 7"/>
    <w:basedOn w:val="Normal"/>
    <w:next w:val="Normal"/>
    <w:link w:val="Heading7Char"/>
    <w:qFormat/>
    <w:rsid w:val="0042036C"/>
    <w:pPr>
      <w:keepNext/>
      <w:ind w:left="1800" w:hanging="1080"/>
      <w:jc w:val="both"/>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36C"/>
    <w:rPr>
      <w:rFonts w:ascii="Cambria" w:eastAsia="Times New Roman" w:hAnsi="Cambria" w:cs="Times New Roman"/>
      <w:b/>
      <w:bCs/>
      <w:i/>
      <w:iCs/>
      <w:sz w:val="28"/>
      <w:szCs w:val="28"/>
    </w:rPr>
  </w:style>
  <w:style w:type="character" w:customStyle="1" w:styleId="Heading7Char">
    <w:name w:val="Heading 7 Char"/>
    <w:basedOn w:val="DefaultParagraphFont"/>
    <w:link w:val="Heading7"/>
    <w:rsid w:val="0042036C"/>
    <w:rPr>
      <w:rFonts w:ascii="Palatino" w:eastAsia="Times New Roman" w:hAnsi="Palatino" w:cs="Times New Roman"/>
      <w:b/>
      <w:bCs/>
      <w:szCs w:val="20"/>
    </w:rPr>
  </w:style>
  <w:style w:type="paragraph" w:styleId="Header">
    <w:name w:val="header"/>
    <w:basedOn w:val="Normal"/>
    <w:link w:val="HeaderChar"/>
    <w:uiPriority w:val="99"/>
    <w:unhideWhenUsed/>
    <w:rsid w:val="002C7F6D"/>
    <w:pPr>
      <w:tabs>
        <w:tab w:val="center" w:pos="4680"/>
        <w:tab w:val="right" w:pos="9360"/>
      </w:tabs>
    </w:pPr>
  </w:style>
  <w:style w:type="character" w:customStyle="1" w:styleId="HeaderChar">
    <w:name w:val="Header Char"/>
    <w:basedOn w:val="DefaultParagraphFont"/>
    <w:link w:val="Header"/>
    <w:uiPriority w:val="99"/>
    <w:rsid w:val="002C7F6D"/>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2C7F6D"/>
    <w:pPr>
      <w:tabs>
        <w:tab w:val="center" w:pos="4680"/>
        <w:tab w:val="right" w:pos="9360"/>
      </w:tabs>
    </w:pPr>
  </w:style>
  <w:style w:type="character" w:customStyle="1" w:styleId="FooterChar">
    <w:name w:val="Footer Char"/>
    <w:basedOn w:val="DefaultParagraphFont"/>
    <w:link w:val="Footer"/>
    <w:uiPriority w:val="99"/>
    <w:rsid w:val="002C7F6D"/>
    <w:rPr>
      <w:rFonts w:ascii="Times New Roman" w:eastAsia="Times New Roman" w:hAnsi="Times New Roman" w:cs="Times New Roman"/>
      <w:bCs/>
      <w:sz w:val="24"/>
      <w:szCs w:val="20"/>
    </w:rPr>
  </w:style>
  <w:style w:type="table" w:styleId="TableGrid">
    <w:name w:val="Table Grid"/>
    <w:basedOn w:val="TableNormal"/>
    <w:rsid w:val="00F14C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C52"/>
    <w:pPr>
      <w:ind w:left="720"/>
      <w:contextualSpacing/>
    </w:pPr>
    <w:rPr>
      <w:bCs w:val="0"/>
      <w:szCs w:val="24"/>
    </w:rPr>
  </w:style>
  <w:style w:type="character" w:styleId="PageNumber">
    <w:name w:val="page number"/>
    <w:basedOn w:val="DefaultParagraphFont"/>
    <w:rsid w:val="0035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4A9C-5FA4-4A63-849A-3EDC56F8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 DSS</dc:creator>
  <cp:lastModifiedBy>Brandi R Berg</cp:lastModifiedBy>
  <cp:revision>2</cp:revision>
  <cp:lastPrinted>2012-07-20T21:10:00Z</cp:lastPrinted>
  <dcterms:created xsi:type="dcterms:W3CDTF">2012-10-01T21:11:00Z</dcterms:created>
  <dcterms:modified xsi:type="dcterms:W3CDTF">2012-10-01T21:11:00Z</dcterms:modified>
</cp:coreProperties>
</file>