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E5D" w:rsidRPr="00D955BD" w:rsidRDefault="00963E5D" w:rsidP="00BD35C3">
      <w:pPr>
        <w:rPr>
          <w:rFonts w:asciiTheme="minorHAnsi" w:hAnsiTheme="minorHAnsi" w:cstheme="minorHAnsi"/>
        </w:rPr>
      </w:pPr>
      <w:bookmarkStart w:id="0" w:name="_GoBack"/>
      <w:bookmarkEnd w:id="0"/>
    </w:p>
    <w:p w:rsidR="00685E87" w:rsidRPr="00D955BD" w:rsidRDefault="008337C1" w:rsidP="00211165">
      <w:pPr>
        <w:pStyle w:val="Title"/>
        <w:pBdr>
          <w:top w:val="single" w:sz="12" w:space="1" w:color="1800C8"/>
          <w:bottom w:val="single" w:sz="24" w:space="1" w:color="1800C8"/>
        </w:pBdr>
        <w:rPr>
          <w:rFonts w:asciiTheme="minorHAnsi" w:hAnsiTheme="minorHAnsi" w:cstheme="minorHAnsi"/>
          <w:b/>
          <w:i w:val="0"/>
          <w:color w:val="1800C8"/>
          <w:sz w:val="36"/>
          <w:szCs w:val="36"/>
        </w:rPr>
      </w:pPr>
      <w:r w:rsidRPr="00D955BD">
        <w:rPr>
          <w:rFonts w:asciiTheme="minorHAnsi" w:hAnsiTheme="minorHAnsi" w:cstheme="minorHAnsi"/>
          <w:b/>
          <w:i w:val="0"/>
          <w:color w:val="1800C8"/>
          <w:sz w:val="36"/>
          <w:szCs w:val="36"/>
        </w:rPr>
        <w:t xml:space="preserve">Report on </w:t>
      </w:r>
      <w:r w:rsidR="00685E87" w:rsidRPr="00D955BD">
        <w:rPr>
          <w:rFonts w:asciiTheme="minorHAnsi" w:hAnsiTheme="minorHAnsi" w:cstheme="minorHAnsi"/>
          <w:b/>
          <w:i w:val="0"/>
          <w:color w:val="1800C8"/>
          <w:sz w:val="36"/>
          <w:szCs w:val="36"/>
        </w:rPr>
        <w:t>e</w:t>
      </w:r>
      <w:r w:rsidRPr="00D955BD">
        <w:rPr>
          <w:rFonts w:asciiTheme="minorHAnsi" w:hAnsiTheme="minorHAnsi" w:cstheme="minorHAnsi"/>
          <w:b/>
          <w:i w:val="0"/>
          <w:color w:val="1800C8"/>
          <w:sz w:val="36"/>
          <w:szCs w:val="36"/>
        </w:rPr>
        <w:t>-</w:t>
      </w:r>
      <w:r w:rsidR="004E55ED">
        <w:rPr>
          <w:rFonts w:asciiTheme="minorHAnsi" w:hAnsiTheme="minorHAnsi" w:cstheme="minorHAnsi"/>
          <w:b/>
          <w:i w:val="0"/>
          <w:color w:val="1800C8"/>
          <w:sz w:val="36"/>
          <w:szCs w:val="36"/>
        </w:rPr>
        <w:t>Learning</w:t>
      </w:r>
    </w:p>
    <w:p w:rsidR="008337C1" w:rsidRPr="004E55ED" w:rsidRDefault="008337C1" w:rsidP="00211165">
      <w:pPr>
        <w:pBdr>
          <w:top w:val="single" w:sz="12" w:space="1" w:color="1800C8"/>
          <w:bottom w:val="single" w:sz="24" w:space="1" w:color="1800C8"/>
        </w:pBdr>
        <w:jc w:val="center"/>
        <w:rPr>
          <w:rFonts w:asciiTheme="minorHAnsi" w:hAnsiTheme="minorHAnsi" w:cstheme="minorHAnsi"/>
          <w:b/>
          <w:color w:val="1800C8"/>
          <w:sz w:val="24"/>
          <w:szCs w:val="24"/>
        </w:rPr>
      </w:pPr>
      <w:r w:rsidRPr="004E55ED">
        <w:rPr>
          <w:rFonts w:asciiTheme="minorHAnsi" w:hAnsiTheme="minorHAnsi" w:cstheme="minorHAnsi"/>
          <w:b/>
          <w:color w:val="1800C8"/>
          <w:sz w:val="24"/>
          <w:szCs w:val="24"/>
        </w:rPr>
        <w:t>November, 2011</w:t>
      </w:r>
    </w:p>
    <w:p w:rsidR="008337C1" w:rsidRPr="00D955BD" w:rsidRDefault="008337C1" w:rsidP="008337C1">
      <w:pPr>
        <w:rPr>
          <w:rFonts w:asciiTheme="minorHAnsi" w:hAnsiTheme="minorHAnsi" w:cstheme="minorHAnsi"/>
        </w:rPr>
      </w:pPr>
    </w:p>
    <w:p w:rsidR="00685E87" w:rsidRPr="00D955BD" w:rsidRDefault="008337C1" w:rsidP="00D955BD">
      <w:pPr>
        <w:ind w:firstLine="0"/>
        <w:rPr>
          <w:rStyle w:val="IntenseEmphasis"/>
          <w:rFonts w:asciiTheme="minorHAnsi" w:hAnsiTheme="minorHAnsi" w:cstheme="minorHAnsi"/>
          <w:i w:val="0"/>
          <w:color w:val="1800C8"/>
          <w:sz w:val="24"/>
          <w:szCs w:val="24"/>
        </w:rPr>
      </w:pPr>
      <w:r w:rsidRPr="00D955BD">
        <w:rPr>
          <w:rStyle w:val="IntenseEmphasis"/>
          <w:rFonts w:asciiTheme="minorHAnsi" w:hAnsiTheme="minorHAnsi" w:cstheme="minorHAnsi"/>
          <w:i w:val="0"/>
          <w:color w:val="1800C8"/>
          <w:sz w:val="24"/>
          <w:szCs w:val="24"/>
        </w:rPr>
        <w:t>Introduction</w:t>
      </w:r>
    </w:p>
    <w:p w:rsidR="00F515D2" w:rsidRPr="008337C1" w:rsidRDefault="00F515D2" w:rsidP="00F515D2">
      <w:pPr>
        <w:rPr>
          <w:rStyle w:val="IntenseEmphasis"/>
          <w:b w:val="0"/>
          <w:i w:val="0"/>
          <w:color w:val="auto"/>
        </w:rPr>
      </w:pPr>
    </w:p>
    <w:p w:rsidR="00981952" w:rsidRPr="00D955BD" w:rsidRDefault="00D955BD" w:rsidP="00D955BD">
      <w:pPr>
        <w:rPr>
          <w:rStyle w:val="IntenseEmphasis"/>
          <w:rFonts w:ascii="Times New Roman" w:hAnsi="Times New Roman"/>
          <w:b w:val="0"/>
          <w:i w:val="0"/>
          <w:color w:val="auto"/>
        </w:rPr>
      </w:pPr>
      <w:r w:rsidRPr="00D955BD">
        <w:rPr>
          <w:rStyle w:val="IntenseEmphasis"/>
          <w:rFonts w:ascii="Times New Roman" w:hAnsi="Times New Roman"/>
          <w:b w:val="0"/>
          <w:i w:val="0"/>
          <w:color w:val="auto"/>
        </w:rPr>
        <w:t>E-learning at UAF has grown rapidly for the past five years.  Online course enrollments are the source of growth</w:t>
      </w:r>
      <w:r w:rsidR="003F36BD">
        <w:rPr>
          <w:rStyle w:val="IntenseEmphasis"/>
          <w:rFonts w:ascii="Times New Roman" w:hAnsi="Times New Roman"/>
          <w:b w:val="0"/>
          <w:i w:val="0"/>
          <w:color w:val="auto"/>
        </w:rPr>
        <w:t xml:space="preserve"> in UAF distance education</w:t>
      </w:r>
      <w:r w:rsidRPr="00D955BD">
        <w:rPr>
          <w:rStyle w:val="IntenseEmphasis"/>
          <w:rFonts w:ascii="Times New Roman" w:hAnsi="Times New Roman"/>
          <w:b w:val="0"/>
          <w:i w:val="0"/>
          <w:color w:val="auto"/>
        </w:rPr>
        <w:t xml:space="preserve">.  Other forms of distance learning, including audio courses, paper-based independent learning courses, and others, have </w:t>
      </w:r>
      <w:r w:rsidR="000F131D">
        <w:rPr>
          <w:rStyle w:val="IntenseEmphasis"/>
          <w:rFonts w:ascii="Times New Roman" w:hAnsi="Times New Roman"/>
          <w:b w:val="0"/>
          <w:i w:val="0"/>
          <w:color w:val="auto"/>
        </w:rPr>
        <w:t>decreased</w:t>
      </w:r>
      <w:r w:rsidRPr="00D955BD">
        <w:rPr>
          <w:rStyle w:val="IntenseEmphasis"/>
          <w:rFonts w:ascii="Times New Roman" w:hAnsi="Times New Roman"/>
          <w:b w:val="0"/>
          <w:i w:val="0"/>
          <w:color w:val="auto"/>
        </w:rPr>
        <w:t>.  Some older methods of distance instruction, including paper-based independent learning courses, are being phased out in favor of additional online courses.</w:t>
      </w:r>
    </w:p>
    <w:p w:rsidR="00D955BD" w:rsidRDefault="00D955BD" w:rsidP="00F515D2">
      <w:pPr>
        <w:rPr>
          <w:rStyle w:val="IntenseEmphasis"/>
          <w:b w:val="0"/>
          <w:i w:val="0"/>
          <w:color w:val="auto"/>
        </w:rPr>
      </w:pPr>
    </w:p>
    <w:p w:rsidR="00D955BD" w:rsidRPr="008337C1" w:rsidRDefault="00093545" w:rsidP="00F515D2">
      <w:pPr>
        <w:rPr>
          <w:rStyle w:val="IntenseEmphasis"/>
          <w:b w:val="0"/>
          <w:i w:val="0"/>
          <w:color w:val="auto"/>
        </w:rPr>
      </w:pPr>
      <w:r>
        <w:rPr>
          <w:noProof/>
          <w:lang w:bidi="ar-SA"/>
        </w:rPr>
        <w:drawing>
          <wp:inline distT="0" distB="0" distL="0" distR="0" wp14:anchorId="0DAB63A8" wp14:editId="3AC70580">
            <wp:extent cx="4591050" cy="2814638"/>
            <wp:effectExtent l="0" t="0" r="19050" b="241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955BD" w:rsidRPr="00093545" w:rsidRDefault="00D955BD" w:rsidP="00D955BD">
      <w:pPr>
        <w:rPr>
          <w:rFonts w:cs="Calibri"/>
          <w:i/>
          <w:color w:val="000000"/>
          <w:sz w:val="20"/>
          <w:szCs w:val="20"/>
          <w:lang w:bidi="ar-SA"/>
        </w:rPr>
      </w:pPr>
      <w:r w:rsidRPr="00D955BD">
        <w:rPr>
          <w:rFonts w:cs="Calibri"/>
          <w:i/>
          <w:color w:val="000000"/>
          <w:sz w:val="20"/>
          <w:szCs w:val="20"/>
          <w:lang w:bidi="ar-SA"/>
        </w:rPr>
        <w:t>Source: UA Information Systems Banner SI, Closing Extracts</w:t>
      </w:r>
    </w:p>
    <w:p w:rsidR="000D2919" w:rsidRPr="004C4807" w:rsidRDefault="000D2919" w:rsidP="00F515D2">
      <w:pPr>
        <w:rPr>
          <w:rStyle w:val="IntenseEmphasis"/>
          <w:rFonts w:ascii="Times New Roman" w:hAnsi="Times New Roman"/>
          <w:b w:val="0"/>
          <w:i w:val="0"/>
          <w:color w:val="auto"/>
        </w:rPr>
      </w:pPr>
    </w:p>
    <w:p w:rsidR="004C4807" w:rsidRPr="004C4807" w:rsidRDefault="004C4807" w:rsidP="00F515D2">
      <w:pPr>
        <w:rPr>
          <w:rStyle w:val="IntenseEmphasis"/>
          <w:rFonts w:ascii="Times New Roman" w:hAnsi="Times New Roman"/>
          <w:b w:val="0"/>
          <w:i w:val="0"/>
          <w:color w:val="auto"/>
        </w:rPr>
      </w:pPr>
      <w:r w:rsidRPr="004C4807">
        <w:rPr>
          <w:rStyle w:val="IntenseEmphasis"/>
          <w:rFonts w:ascii="Times New Roman" w:hAnsi="Times New Roman"/>
          <w:b w:val="0"/>
          <w:i w:val="0"/>
          <w:color w:val="auto"/>
        </w:rPr>
        <w:t>The UAF</w:t>
      </w:r>
      <w:r>
        <w:rPr>
          <w:rStyle w:val="IntenseEmphasis"/>
          <w:rFonts w:ascii="Times New Roman" w:hAnsi="Times New Roman"/>
          <w:b w:val="0"/>
          <w:i w:val="0"/>
          <w:color w:val="auto"/>
        </w:rPr>
        <w:t xml:space="preserve"> MAU serves a region that includes communities that lack high-speed internet access and rely on satellite downlinks.  In many of these communities, internet access of any kind is not available in </w:t>
      </w:r>
      <w:r w:rsidR="000004C2">
        <w:rPr>
          <w:rStyle w:val="IntenseEmphasis"/>
          <w:rFonts w:ascii="Times New Roman" w:hAnsi="Times New Roman"/>
          <w:b w:val="0"/>
          <w:i w:val="0"/>
          <w:color w:val="auto"/>
        </w:rPr>
        <w:t xml:space="preserve">most </w:t>
      </w:r>
      <w:r>
        <w:rPr>
          <w:rStyle w:val="IntenseEmphasis"/>
          <w:rFonts w:ascii="Times New Roman" w:hAnsi="Times New Roman"/>
          <w:b w:val="0"/>
          <w:i w:val="0"/>
          <w:color w:val="auto"/>
        </w:rPr>
        <w:t>homes, but is rather limited to a sch</w:t>
      </w:r>
      <w:r w:rsidR="000004C2">
        <w:rPr>
          <w:rStyle w:val="IntenseEmphasis"/>
          <w:rFonts w:ascii="Times New Roman" w:hAnsi="Times New Roman"/>
          <w:b w:val="0"/>
          <w:i w:val="0"/>
          <w:color w:val="auto"/>
        </w:rPr>
        <w:t>ool, health center, or other central facility.  This means that some UAF courses are still delivered via mailed materials, telephone, and other</w:t>
      </w:r>
      <w:r w:rsidR="00460D8F">
        <w:rPr>
          <w:rStyle w:val="IntenseEmphasis"/>
          <w:rFonts w:ascii="Times New Roman" w:hAnsi="Times New Roman"/>
          <w:b w:val="0"/>
          <w:i w:val="0"/>
          <w:color w:val="auto"/>
        </w:rPr>
        <w:t xml:space="preserve"> lower-technology approaches.  However, t</w:t>
      </w:r>
      <w:r w:rsidR="000004C2">
        <w:rPr>
          <w:rStyle w:val="IntenseEmphasis"/>
          <w:rFonts w:ascii="Times New Roman" w:hAnsi="Times New Roman"/>
          <w:b w:val="0"/>
          <w:i w:val="0"/>
          <w:color w:val="auto"/>
        </w:rPr>
        <w:t>he IT infrastructure of northern and western Alaska communities is improving and delivery methods are changing to keep pace.</w:t>
      </w:r>
    </w:p>
    <w:p w:rsidR="00981952" w:rsidRPr="00A25573" w:rsidRDefault="00F84878" w:rsidP="00A25573">
      <w:pPr>
        <w:ind w:firstLine="0"/>
        <w:rPr>
          <w:rStyle w:val="IntenseEmphasis"/>
          <w:i w:val="0"/>
          <w:color w:val="1800C8"/>
        </w:rPr>
      </w:pPr>
      <w:r>
        <w:rPr>
          <w:rStyle w:val="IntenseEmphasis"/>
        </w:rPr>
        <w:br w:type="page"/>
      </w:r>
      <w:r w:rsidR="00981952" w:rsidRPr="00A25573">
        <w:rPr>
          <w:rStyle w:val="IntenseEmphasis"/>
          <w:i w:val="0"/>
          <w:color w:val="1800C8"/>
        </w:rPr>
        <w:lastRenderedPageBreak/>
        <w:t>Terminology</w:t>
      </w:r>
    </w:p>
    <w:p w:rsidR="00981952" w:rsidRDefault="00981952" w:rsidP="00685E87"/>
    <w:p w:rsidR="00685E87" w:rsidRPr="000004C2" w:rsidRDefault="00460D8F" w:rsidP="00685E87">
      <w:pPr>
        <w:rPr>
          <w:rFonts w:ascii="Times New Roman" w:hAnsi="Times New Roman"/>
        </w:rPr>
      </w:pPr>
      <w:r>
        <w:rPr>
          <w:rFonts w:ascii="Times New Roman" w:hAnsi="Times New Roman"/>
        </w:rPr>
        <w:t>Since s</w:t>
      </w:r>
      <w:r w:rsidR="00685E87" w:rsidRPr="000004C2">
        <w:rPr>
          <w:rFonts w:ascii="Times New Roman" w:hAnsi="Times New Roman"/>
        </w:rPr>
        <w:t xml:space="preserve">ummer 2011, </w:t>
      </w:r>
      <w:r w:rsidR="00093545" w:rsidRPr="000004C2">
        <w:rPr>
          <w:rFonts w:ascii="Times New Roman" w:hAnsi="Times New Roman"/>
        </w:rPr>
        <w:t>after a statewide assessment of e-learning led by Sally Mead of the University of Alaska Anchorage, all UA</w:t>
      </w:r>
      <w:r w:rsidR="00685E87" w:rsidRPr="000004C2">
        <w:rPr>
          <w:rFonts w:ascii="Times New Roman" w:hAnsi="Times New Roman"/>
        </w:rPr>
        <w:t xml:space="preserve"> courses have been categorized</w:t>
      </w:r>
      <w:r w:rsidR="00093545" w:rsidRPr="000004C2">
        <w:rPr>
          <w:rFonts w:ascii="Times New Roman" w:hAnsi="Times New Roman"/>
        </w:rPr>
        <w:t xml:space="preserve"> as shown in the table below.  </w:t>
      </w:r>
      <w:r w:rsidR="000F131D" w:rsidRPr="000004C2">
        <w:rPr>
          <w:rFonts w:ascii="Times New Roman" w:hAnsi="Times New Roman"/>
        </w:rPr>
        <w:t>Before that, a different and more complicated sy</w:t>
      </w:r>
      <w:r>
        <w:rPr>
          <w:rFonts w:ascii="Times New Roman" w:hAnsi="Times New Roman"/>
        </w:rPr>
        <w:t xml:space="preserve">stem was used.  Further, </w:t>
      </w:r>
      <w:r w:rsidR="000F131D" w:rsidRPr="000004C2">
        <w:rPr>
          <w:rFonts w:ascii="Times New Roman" w:hAnsi="Times New Roman"/>
        </w:rPr>
        <w:t xml:space="preserve">distance education </w:t>
      </w:r>
      <w:r>
        <w:rPr>
          <w:rFonts w:ascii="Times New Roman" w:hAnsi="Times New Roman"/>
        </w:rPr>
        <w:t xml:space="preserve">at UAF </w:t>
      </w:r>
      <w:r w:rsidR="000F131D" w:rsidRPr="000004C2">
        <w:rPr>
          <w:rFonts w:ascii="Times New Roman" w:hAnsi="Times New Roman"/>
        </w:rPr>
        <w:t xml:space="preserve">is offered by several units, and before 2011 they did not all record the same information.  </w:t>
      </w:r>
      <w:r w:rsidR="00F24291">
        <w:rPr>
          <w:rFonts w:ascii="Times New Roman" w:hAnsi="Times New Roman"/>
        </w:rPr>
        <w:t>For purposes of this report, UAF uses “e-learning” to refer to online courses, and “distance education” to refer to the broader range of options that don’t require students to be in a particular location to take a course.</w:t>
      </w:r>
    </w:p>
    <w:p w:rsidR="00685E87" w:rsidRPr="000004C2" w:rsidRDefault="00685E87" w:rsidP="00685E87">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4140"/>
        <w:gridCol w:w="3348"/>
      </w:tblGrid>
      <w:tr w:rsidR="000F131D" w:rsidRPr="000F131D" w:rsidTr="000F131D">
        <w:tc>
          <w:tcPr>
            <w:tcW w:w="2088" w:type="dxa"/>
            <w:shd w:val="clear" w:color="auto" w:fill="1800C8"/>
          </w:tcPr>
          <w:p w:rsidR="00685E87" w:rsidRPr="000F131D" w:rsidRDefault="008C2B9E" w:rsidP="008C2B9E">
            <w:pPr>
              <w:jc w:val="center"/>
              <w:rPr>
                <w:b/>
                <w:color w:val="FFFFFF" w:themeColor="background1"/>
              </w:rPr>
            </w:pPr>
            <w:r w:rsidRPr="000F131D">
              <w:rPr>
                <w:b/>
                <w:color w:val="FFFFFF" w:themeColor="background1"/>
              </w:rPr>
              <w:t>Terminology</w:t>
            </w:r>
          </w:p>
        </w:tc>
        <w:tc>
          <w:tcPr>
            <w:tcW w:w="4140" w:type="dxa"/>
            <w:shd w:val="clear" w:color="auto" w:fill="1800C8"/>
          </w:tcPr>
          <w:p w:rsidR="00685E87" w:rsidRPr="000F131D" w:rsidRDefault="00685E87" w:rsidP="008C2B9E">
            <w:pPr>
              <w:jc w:val="center"/>
              <w:rPr>
                <w:b/>
                <w:color w:val="FFFFFF" w:themeColor="background1"/>
              </w:rPr>
            </w:pPr>
            <w:r w:rsidRPr="000F131D">
              <w:rPr>
                <w:b/>
                <w:color w:val="FFFFFF" w:themeColor="background1"/>
              </w:rPr>
              <w:t>Current Courses</w:t>
            </w:r>
          </w:p>
        </w:tc>
        <w:tc>
          <w:tcPr>
            <w:tcW w:w="3348" w:type="dxa"/>
            <w:shd w:val="clear" w:color="auto" w:fill="1800C8"/>
          </w:tcPr>
          <w:p w:rsidR="00685E87" w:rsidRPr="000F131D" w:rsidRDefault="00685E87" w:rsidP="008C2B9E">
            <w:pPr>
              <w:jc w:val="center"/>
              <w:rPr>
                <w:b/>
                <w:color w:val="FFFFFF" w:themeColor="background1"/>
              </w:rPr>
            </w:pPr>
            <w:r w:rsidRPr="000F131D">
              <w:rPr>
                <w:b/>
                <w:color w:val="FFFFFF" w:themeColor="background1"/>
              </w:rPr>
              <w:t>Historical Courses</w:t>
            </w:r>
          </w:p>
        </w:tc>
      </w:tr>
      <w:tr w:rsidR="00685E87" w:rsidRPr="00E87478" w:rsidTr="00857B64">
        <w:tc>
          <w:tcPr>
            <w:tcW w:w="2088" w:type="dxa"/>
          </w:tcPr>
          <w:p w:rsidR="00685E87" w:rsidRPr="00E87478" w:rsidRDefault="00685E87" w:rsidP="008C2B9E">
            <w:r w:rsidRPr="00E87478">
              <w:t>e</w:t>
            </w:r>
            <w:r w:rsidR="00F24291">
              <w:t>-</w:t>
            </w:r>
            <w:r w:rsidRPr="00E87478">
              <w:t>Learning</w:t>
            </w:r>
          </w:p>
        </w:tc>
        <w:tc>
          <w:tcPr>
            <w:tcW w:w="4140" w:type="dxa"/>
          </w:tcPr>
          <w:p w:rsidR="00685E87" w:rsidRPr="00E87478" w:rsidRDefault="00857B64" w:rsidP="00857B64">
            <w:pPr>
              <w:ind w:firstLine="0"/>
            </w:pPr>
            <w:r>
              <w:t xml:space="preserve">0% location-based (Banner </w:t>
            </w:r>
            <w:r w:rsidR="00685E87" w:rsidRPr="00E87478">
              <w:t>code 0)</w:t>
            </w:r>
          </w:p>
        </w:tc>
        <w:tc>
          <w:tcPr>
            <w:tcW w:w="3348" w:type="dxa"/>
          </w:tcPr>
          <w:p w:rsidR="00685E87" w:rsidRPr="00E87478" w:rsidRDefault="00685E87" w:rsidP="000F0D4D">
            <w:pPr>
              <w:ind w:firstLine="6"/>
            </w:pPr>
            <w:r w:rsidRPr="00E87478">
              <w:t>Distance (Banner codes X, Y, Z)</w:t>
            </w:r>
          </w:p>
        </w:tc>
      </w:tr>
      <w:tr w:rsidR="00685E87" w:rsidRPr="00E87478" w:rsidTr="00857B64">
        <w:tc>
          <w:tcPr>
            <w:tcW w:w="2088" w:type="dxa"/>
          </w:tcPr>
          <w:p w:rsidR="00685E87" w:rsidRPr="00E87478" w:rsidRDefault="00685E87" w:rsidP="008C2B9E">
            <w:r w:rsidRPr="00E87478">
              <w:t>Blended</w:t>
            </w:r>
          </w:p>
        </w:tc>
        <w:tc>
          <w:tcPr>
            <w:tcW w:w="4140" w:type="dxa"/>
          </w:tcPr>
          <w:p w:rsidR="00685E87" w:rsidRPr="00E87478" w:rsidRDefault="00685E87" w:rsidP="000F0D4D">
            <w:pPr>
              <w:ind w:firstLine="48"/>
            </w:pPr>
            <w:r w:rsidRPr="00E87478">
              <w:t>1-20% and 21-50% location-based (Banner codes 1 and 2, respectively)</w:t>
            </w:r>
          </w:p>
        </w:tc>
        <w:tc>
          <w:tcPr>
            <w:tcW w:w="3348" w:type="dxa"/>
          </w:tcPr>
          <w:p w:rsidR="00685E87" w:rsidRPr="00E87478" w:rsidRDefault="00685E87" w:rsidP="000F0D4D">
            <w:pPr>
              <w:ind w:firstLine="6"/>
            </w:pPr>
            <w:r w:rsidRPr="00E87478">
              <w:t>Blended (Banner code H)</w:t>
            </w:r>
          </w:p>
        </w:tc>
      </w:tr>
      <w:tr w:rsidR="00685E87" w:rsidRPr="00E87478" w:rsidTr="00857B64">
        <w:tc>
          <w:tcPr>
            <w:tcW w:w="2088" w:type="dxa"/>
          </w:tcPr>
          <w:p w:rsidR="00685E87" w:rsidRPr="00E87478" w:rsidRDefault="00685E87" w:rsidP="008C2B9E">
            <w:r w:rsidRPr="00E87478">
              <w:t>Traditional</w:t>
            </w:r>
          </w:p>
        </w:tc>
        <w:tc>
          <w:tcPr>
            <w:tcW w:w="4140" w:type="dxa"/>
          </w:tcPr>
          <w:p w:rsidR="00685E87" w:rsidRPr="00E87478" w:rsidRDefault="00685E87" w:rsidP="000F0D4D">
            <w:pPr>
              <w:ind w:firstLine="48"/>
            </w:pPr>
            <w:r w:rsidRPr="00E87478">
              <w:t>&gt; 50% location-based (all other Banner codes)</w:t>
            </w:r>
          </w:p>
        </w:tc>
        <w:tc>
          <w:tcPr>
            <w:tcW w:w="3348" w:type="dxa"/>
          </w:tcPr>
          <w:p w:rsidR="00685E87" w:rsidRPr="00E87478" w:rsidRDefault="00685E87" w:rsidP="000F0D4D">
            <w:pPr>
              <w:ind w:firstLine="6"/>
            </w:pPr>
            <w:r w:rsidRPr="00E87478">
              <w:t>Traditional (all other Banner codes)</w:t>
            </w:r>
          </w:p>
        </w:tc>
      </w:tr>
    </w:tbl>
    <w:p w:rsidR="00685E87" w:rsidRPr="000F0D4D" w:rsidRDefault="000F0D4D" w:rsidP="000F0D4D">
      <w:pPr>
        <w:ind w:firstLine="0"/>
        <w:rPr>
          <w:i/>
          <w:sz w:val="20"/>
          <w:szCs w:val="20"/>
        </w:rPr>
      </w:pPr>
      <w:r w:rsidRPr="000F0D4D">
        <w:rPr>
          <w:i/>
          <w:sz w:val="20"/>
          <w:szCs w:val="20"/>
        </w:rPr>
        <w:t xml:space="preserve">Source: Catalog &amp; Schedule </w:t>
      </w:r>
      <w:r>
        <w:rPr>
          <w:i/>
          <w:sz w:val="20"/>
          <w:szCs w:val="20"/>
        </w:rPr>
        <w:t xml:space="preserve">state-wide </w:t>
      </w:r>
      <w:r w:rsidRPr="000F0D4D">
        <w:rPr>
          <w:i/>
          <w:sz w:val="20"/>
          <w:szCs w:val="20"/>
        </w:rPr>
        <w:t>Banner work team, 10/27/2011</w:t>
      </w:r>
    </w:p>
    <w:p w:rsidR="003F36BD" w:rsidRDefault="003F36BD" w:rsidP="00685E87">
      <w:pPr>
        <w:rPr>
          <w:i/>
        </w:rPr>
      </w:pPr>
    </w:p>
    <w:p w:rsidR="00797524" w:rsidRPr="000F0D4D" w:rsidRDefault="00797524" w:rsidP="00685E87">
      <w:pPr>
        <w:rPr>
          <w:i/>
        </w:rPr>
      </w:pPr>
    </w:p>
    <w:p w:rsidR="00685E87" w:rsidRPr="00A25573" w:rsidRDefault="00D00069" w:rsidP="00A25573">
      <w:pPr>
        <w:ind w:firstLine="0"/>
        <w:rPr>
          <w:rStyle w:val="IntenseEmphasis"/>
          <w:i w:val="0"/>
          <w:color w:val="1800C8"/>
        </w:rPr>
      </w:pPr>
      <w:r w:rsidRPr="00A25573">
        <w:rPr>
          <w:rStyle w:val="IntenseEmphasis"/>
          <w:i w:val="0"/>
          <w:color w:val="1800C8"/>
        </w:rPr>
        <w:t xml:space="preserve">Endorsement, Certificate and </w:t>
      </w:r>
      <w:r w:rsidR="00685E87" w:rsidRPr="00A25573">
        <w:rPr>
          <w:rStyle w:val="IntenseEmphasis"/>
          <w:i w:val="0"/>
          <w:color w:val="1800C8"/>
        </w:rPr>
        <w:t>Degree Programs by Delivery</w:t>
      </w:r>
    </w:p>
    <w:p w:rsidR="00685E87" w:rsidRDefault="00685E87" w:rsidP="00685E87"/>
    <w:p w:rsidR="00134464" w:rsidRDefault="003F36BD" w:rsidP="00685E87">
      <w:pPr>
        <w:rPr>
          <w:rFonts w:ascii="Times New Roman" w:hAnsi="Times New Roman"/>
        </w:rPr>
      </w:pPr>
      <w:r w:rsidRPr="000004C2">
        <w:rPr>
          <w:rFonts w:ascii="Times New Roman" w:hAnsi="Times New Roman"/>
        </w:rPr>
        <w:t xml:space="preserve">Categorization of </w:t>
      </w:r>
      <w:r w:rsidR="00134464">
        <w:rPr>
          <w:rFonts w:ascii="Times New Roman" w:hAnsi="Times New Roman"/>
        </w:rPr>
        <w:t>complete academic</w:t>
      </w:r>
      <w:r w:rsidRPr="000004C2">
        <w:rPr>
          <w:rFonts w:ascii="Times New Roman" w:hAnsi="Times New Roman"/>
        </w:rPr>
        <w:t xml:space="preserve"> programs is still difficult.  While </w:t>
      </w:r>
      <w:r w:rsidR="00134464">
        <w:rPr>
          <w:rFonts w:ascii="Times New Roman" w:hAnsi="Times New Roman"/>
        </w:rPr>
        <w:t xml:space="preserve">the </w:t>
      </w:r>
      <w:r w:rsidRPr="000004C2">
        <w:rPr>
          <w:rFonts w:ascii="Times New Roman" w:hAnsi="Times New Roman"/>
        </w:rPr>
        <w:t>coding of courses offered is now consistent, the system has been fully implemented for only a few months.  Since programs take years to complete</w:t>
      </w:r>
      <w:r w:rsidR="00134464">
        <w:rPr>
          <w:rFonts w:ascii="Times New Roman" w:hAnsi="Times New Roman"/>
        </w:rPr>
        <w:t>,</w:t>
      </w:r>
      <w:r w:rsidRPr="000004C2">
        <w:rPr>
          <w:rFonts w:ascii="Times New Roman" w:hAnsi="Times New Roman"/>
        </w:rPr>
        <w:t xml:space="preserve"> the mode of delivery of the courses that comprise programs is changing rapidly,</w:t>
      </w:r>
      <w:r w:rsidR="00134464">
        <w:rPr>
          <w:rFonts w:ascii="Times New Roman" w:hAnsi="Times New Roman"/>
        </w:rPr>
        <w:t xml:space="preserve"> and many distance programs are also offered face-to-face, </w:t>
      </w:r>
      <w:r w:rsidRPr="000004C2">
        <w:rPr>
          <w:rFonts w:ascii="Times New Roman" w:hAnsi="Times New Roman"/>
        </w:rPr>
        <w:t xml:space="preserve">UAF found that it was not </w:t>
      </w:r>
      <w:r w:rsidR="00134464">
        <w:rPr>
          <w:rFonts w:ascii="Times New Roman" w:hAnsi="Times New Roman"/>
        </w:rPr>
        <w:t xml:space="preserve">yet </w:t>
      </w:r>
      <w:r w:rsidRPr="000004C2">
        <w:rPr>
          <w:rFonts w:ascii="Times New Roman" w:hAnsi="Times New Roman"/>
        </w:rPr>
        <w:t xml:space="preserve">possible to report on programs </w:t>
      </w:r>
      <w:r w:rsidR="00134464">
        <w:rPr>
          <w:rFonts w:ascii="Times New Roman" w:hAnsi="Times New Roman"/>
        </w:rPr>
        <w:t>using exactly</w:t>
      </w:r>
      <w:r w:rsidRPr="000004C2">
        <w:rPr>
          <w:rFonts w:ascii="Times New Roman" w:hAnsi="Times New Roman"/>
        </w:rPr>
        <w:t xml:space="preserve"> </w:t>
      </w:r>
      <w:r w:rsidR="00134464">
        <w:rPr>
          <w:rFonts w:ascii="Times New Roman" w:hAnsi="Times New Roman"/>
        </w:rPr>
        <w:t xml:space="preserve">the </w:t>
      </w:r>
      <w:r w:rsidRPr="000004C2">
        <w:rPr>
          <w:rFonts w:ascii="Times New Roman" w:hAnsi="Times New Roman"/>
        </w:rPr>
        <w:t xml:space="preserve">system </w:t>
      </w:r>
      <w:r w:rsidR="004C4807" w:rsidRPr="000004C2">
        <w:rPr>
          <w:rFonts w:ascii="Times New Roman" w:hAnsi="Times New Roman"/>
        </w:rPr>
        <w:t xml:space="preserve">of course classifications </w:t>
      </w:r>
      <w:r w:rsidRPr="000004C2">
        <w:rPr>
          <w:rFonts w:ascii="Times New Roman" w:hAnsi="Times New Roman"/>
        </w:rPr>
        <w:t xml:space="preserve">above.  Instead we report </w:t>
      </w:r>
      <w:r w:rsidR="004C4807" w:rsidRPr="000004C2">
        <w:rPr>
          <w:rFonts w:ascii="Times New Roman" w:hAnsi="Times New Roman"/>
        </w:rPr>
        <w:t>on the characterization provided by the faculty who deliver the program</w:t>
      </w:r>
      <w:r w:rsidR="00D87F04">
        <w:rPr>
          <w:rFonts w:ascii="Times New Roman" w:hAnsi="Times New Roman"/>
        </w:rPr>
        <w:t>s</w:t>
      </w:r>
      <w:r w:rsidR="004C4807" w:rsidRPr="000004C2">
        <w:rPr>
          <w:rFonts w:ascii="Times New Roman" w:hAnsi="Times New Roman"/>
        </w:rPr>
        <w:t>.  This information was reported in terms of “distance” rather than “e-learning” programs, and the percentages reported</w:t>
      </w:r>
      <w:r w:rsidR="00134464">
        <w:rPr>
          <w:rFonts w:ascii="Times New Roman" w:hAnsi="Times New Roman"/>
        </w:rPr>
        <w:t xml:space="preserve"> are</w:t>
      </w:r>
      <w:r w:rsidR="004C4807" w:rsidRPr="000004C2">
        <w:rPr>
          <w:rFonts w:ascii="Times New Roman" w:hAnsi="Times New Roman"/>
        </w:rPr>
        <w:t xml:space="preserve"> the percentage</w:t>
      </w:r>
      <w:r w:rsidR="00134464">
        <w:rPr>
          <w:rFonts w:ascii="Times New Roman" w:hAnsi="Times New Roman"/>
        </w:rPr>
        <w:t>s</w:t>
      </w:r>
      <w:r w:rsidR="004C4807" w:rsidRPr="000004C2">
        <w:rPr>
          <w:rFonts w:ascii="Times New Roman" w:hAnsi="Times New Roman"/>
        </w:rPr>
        <w:t xml:space="preserve"> of total course requirements that can be completed b</w:t>
      </w:r>
      <w:r w:rsidR="00134464">
        <w:rPr>
          <w:rFonts w:ascii="Times New Roman" w:hAnsi="Times New Roman"/>
        </w:rPr>
        <w:t>y</w:t>
      </w:r>
      <w:r w:rsidR="004C4807" w:rsidRPr="000004C2">
        <w:rPr>
          <w:rFonts w:ascii="Times New Roman" w:hAnsi="Times New Roman"/>
        </w:rPr>
        <w:t xml:space="preserve"> student</w:t>
      </w:r>
      <w:r w:rsidR="00134464">
        <w:rPr>
          <w:rFonts w:ascii="Times New Roman" w:hAnsi="Times New Roman"/>
        </w:rPr>
        <w:t>s in many locations</w:t>
      </w:r>
      <w:r w:rsidR="004C4807" w:rsidRPr="000004C2">
        <w:rPr>
          <w:rFonts w:ascii="Times New Roman" w:hAnsi="Times New Roman"/>
        </w:rPr>
        <w:t xml:space="preserve">. </w:t>
      </w:r>
      <w:r w:rsidR="00134464">
        <w:rPr>
          <w:rFonts w:ascii="Times New Roman" w:hAnsi="Times New Roman"/>
        </w:rPr>
        <w:t xml:space="preserve"> All locations are not served by all programs, since they have varying infrastructure requirements, ranging from high-speed internet to telephone only.  </w:t>
      </w:r>
    </w:p>
    <w:p w:rsidR="00941EA9" w:rsidRDefault="00941EA9" w:rsidP="00685E87">
      <w:pPr>
        <w:rPr>
          <w:rFonts w:ascii="Times New Roman" w:hAnsi="Times New Roman"/>
        </w:rPr>
      </w:pPr>
    </w:p>
    <w:p w:rsidR="00685E87" w:rsidRPr="000004C2" w:rsidRDefault="00165268" w:rsidP="00685E87">
      <w:pPr>
        <w:rPr>
          <w:rFonts w:ascii="Times New Roman" w:hAnsi="Times New Roman"/>
        </w:rPr>
      </w:pPr>
      <w:r w:rsidRPr="000004C2">
        <w:rPr>
          <w:rFonts w:ascii="Times New Roman" w:hAnsi="Times New Roman"/>
        </w:rPr>
        <w:t xml:space="preserve">Of the </w:t>
      </w:r>
      <w:r w:rsidR="000F131D" w:rsidRPr="000004C2">
        <w:rPr>
          <w:rFonts w:ascii="Times New Roman" w:hAnsi="Times New Roman"/>
        </w:rPr>
        <w:t>201</w:t>
      </w:r>
      <w:r w:rsidR="00EA1B30" w:rsidRPr="000004C2">
        <w:rPr>
          <w:rFonts w:ascii="Times New Roman" w:hAnsi="Times New Roman"/>
        </w:rPr>
        <w:t xml:space="preserve"> degree and certificate </w:t>
      </w:r>
      <w:r w:rsidRPr="000004C2">
        <w:rPr>
          <w:rFonts w:ascii="Times New Roman" w:hAnsi="Times New Roman"/>
        </w:rPr>
        <w:t xml:space="preserve">programs </w:t>
      </w:r>
      <w:r w:rsidR="000F131D" w:rsidRPr="000004C2">
        <w:rPr>
          <w:rFonts w:ascii="Times New Roman" w:hAnsi="Times New Roman"/>
        </w:rPr>
        <w:t>offered by UAF</w:t>
      </w:r>
      <w:r w:rsidRPr="000004C2">
        <w:rPr>
          <w:rFonts w:ascii="Times New Roman" w:hAnsi="Times New Roman"/>
        </w:rPr>
        <w:t xml:space="preserve">, </w:t>
      </w:r>
      <w:r w:rsidR="000F131D" w:rsidRPr="000004C2">
        <w:rPr>
          <w:rFonts w:ascii="Times New Roman" w:hAnsi="Times New Roman"/>
        </w:rPr>
        <w:t>20</w:t>
      </w:r>
      <w:r w:rsidR="00A25573" w:rsidRPr="000004C2">
        <w:rPr>
          <w:rFonts w:ascii="Times New Roman" w:hAnsi="Times New Roman"/>
        </w:rPr>
        <w:t xml:space="preserve"> are offered </w:t>
      </w:r>
      <w:r w:rsidR="003F36BD" w:rsidRPr="000004C2">
        <w:rPr>
          <w:rFonts w:ascii="Times New Roman" w:hAnsi="Times New Roman"/>
        </w:rPr>
        <w:t xml:space="preserve">to </w:t>
      </w:r>
      <w:r w:rsidR="00082DF3">
        <w:rPr>
          <w:rFonts w:ascii="Times New Roman" w:hAnsi="Times New Roman"/>
        </w:rPr>
        <w:t xml:space="preserve">exclusively </w:t>
      </w:r>
      <w:r w:rsidR="003F36BD" w:rsidRPr="000004C2">
        <w:rPr>
          <w:rFonts w:ascii="Times New Roman" w:hAnsi="Times New Roman"/>
        </w:rPr>
        <w:t>distance students</w:t>
      </w:r>
      <w:r w:rsidRPr="000004C2">
        <w:rPr>
          <w:rFonts w:ascii="Times New Roman" w:hAnsi="Times New Roman"/>
        </w:rPr>
        <w:t>.</w:t>
      </w:r>
      <w:r w:rsidR="00A25573" w:rsidRPr="000004C2">
        <w:rPr>
          <w:rFonts w:ascii="Times New Roman" w:hAnsi="Times New Roman"/>
        </w:rPr>
        <w:t xml:space="preserve">  Not all of these are online at the current time.  There are 51 programs</w:t>
      </w:r>
      <w:r w:rsidR="00134464">
        <w:rPr>
          <w:rFonts w:ascii="Times New Roman" w:hAnsi="Times New Roman"/>
        </w:rPr>
        <w:t xml:space="preserve"> with </w:t>
      </w:r>
      <w:r w:rsidR="00D87F04">
        <w:rPr>
          <w:rFonts w:ascii="Times New Roman" w:hAnsi="Times New Roman"/>
        </w:rPr>
        <w:t>76</w:t>
      </w:r>
      <w:r w:rsidR="00134464">
        <w:rPr>
          <w:rFonts w:ascii="Times New Roman" w:hAnsi="Times New Roman"/>
        </w:rPr>
        <w:t>%</w:t>
      </w:r>
      <w:r w:rsidR="00941EA9">
        <w:rPr>
          <w:rFonts w:ascii="Times New Roman" w:hAnsi="Times New Roman"/>
        </w:rPr>
        <w:t xml:space="preserve"> to </w:t>
      </w:r>
      <w:r w:rsidR="00D87F04">
        <w:rPr>
          <w:rFonts w:ascii="Times New Roman" w:hAnsi="Times New Roman"/>
        </w:rPr>
        <w:t>99%</w:t>
      </w:r>
      <w:r w:rsidR="00134464">
        <w:rPr>
          <w:rFonts w:ascii="Times New Roman" w:hAnsi="Times New Roman"/>
        </w:rPr>
        <w:t xml:space="preserve"> of requirements offered by distance.</w:t>
      </w:r>
      <w:r w:rsidR="00A25573" w:rsidRPr="000004C2">
        <w:rPr>
          <w:rFonts w:ascii="Times New Roman" w:hAnsi="Times New Roman"/>
        </w:rPr>
        <w:t xml:space="preserve"> </w:t>
      </w:r>
    </w:p>
    <w:p w:rsidR="00685E87" w:rsidRDefault="00685E87" w:rsidP="00685E87"/>
    <w:tbl>
      <w:tblPr>
        <w:tblW w:w="8620" w:type="dxa"/>
        <w:tblInd w:w="93" w:type="dxa"/>
        <w:tblLook w:val="04A0" w:firstRow="1" w:lastRow="0" w:firstColumn="1" w:lastColumn="0" w:noHBand="0" w:noVBand="1"/>
      </w:tblPr>
      <w:tblGrid>
        <w:gridCol w:w="3020"/>
        <w:gridCol w:w="1052"/>
        <w:gridCol w:w="1249"/>
        <w:gridCol w:w="1249"/>
        <w:gridCol w:w="930"/>
        <w:gridCol w:w="1120"/>
      </w:tblGrid>
      <w:tr w:rsidR="00A25573" w:rsidRPr="00A25573" w:rsidTr="00A25573">
        <w:trPr>
          <w:trHeight w:val="300"/>
        </w:trPr>
        <w:tc>
          <w:tcPr>
            <w:tcW w:w="3020" w:type="dxa"/>
            <w:tcBorders>
              <w:top w:val="single" w:sz="4" w:space="0" w:color="auto"/>
              <w:left w:val="single" w:sz="4" w:space="0" w:color="auto"/>
              <w:bottom w:val="nil"/>
              <w:right w:val="single" w:sz="4" w:space="0" w:color="auto"/>
            </w:tcBorders>
            <w:shd w:val="clear" w:color="auto" w:fill="1800C8"/>
            <w:noWrap/>
            <w:vAlign w:val="bottom"/>
            <w:hideMark/>
          </w:tcPr>
          <w:p w:rsidR="000F131D" w:rsidRPr="000F131D" w:rsidRDefault="000F131D" w:rsidP="000F131D">
            <w:pPr>
              <w:ind w:firstLine="0"/>
              <w:rPr>
                <w:rFonts w:cs="Calibri"/>
                <w:b/>
                <w:color w:val="FFFFFF" w:themeColor="background1"/>
                <w:lang w:bidi="ar-SA"/>
              </w:rPr>
            </w:pPr>
            <w:r w:rsidRPr="000F131D">
              <w:rPr>
                <w:rFonts w:cs="Calibri"/>
                <w:b/>
                <w:color w:val="FFFFFF" w:themeColor="background1"/>
                <w:lang w:bidi="ar-SA"/>
              </w:rPr>
              <w:t> </w:t>
            </w:r>
          </w:p>
        </w:tc>
        <w:tc>
          <w:tcPr>
            <w:tcW w:w="4480" w:type="dxa"/>
            <w:gridSpan w:val="4"/>
            <w:tcBorders>
              <w:top w:val="single" w:sz="4" w:space="0" w:color="auto"/>
              <w:left w:val="nil"/>
              <w:bottom w:val="nil"/>
              <w:right w:val="single" w:sz="4" w:space="0" w:color="000000"/>
            </w:tcBorders>
            <w:shd w:val="clear" w:color="auto" w:fill="1800C8"/>
            <w:noWrap/>
            <w:vAlign w:val="bottom"/>
            <w:hideMark/>
          </w:tcPr>
          <w:p w:rsidR="000F131D" w:rsidRPr="000F131D" w:rsidRDefault="000F131D" w:rsidP="000F131D">
            <w:pPr>
              <w:ind w:firstLine="0"/>
              <w:jc w:val="center"/>
              <w:rPr>
                <w:rFonts w:cs="Calibri"/>
                <w:b/>
                <w:color w:val="FFFFFF" w:themeColor="background1"/>
                <w:lang w:bidi="ar-SA"/>
              </w:rPr>
            </w:pPr>
            <w:r w:rsidRPr="000F131D">
              <w:rPr>
                <w:rFonts w:cs="Calibri"/>
                <w:b/>
                <w:color w:val="FFFFFF" w:themeColor="background1"/>
                <w:lang w:bidi="ar-SA"/>
              </w:rPr>
              <w:t>Percentage that can be Completed by Distance</w:t>
            </w:r>
          </w:p>
        </w:tc>
        <w:tc>
          <w:tcPr>
            <w:tcW w:w="1120" w:type="dxa"/>
            <w:tcBorders>
              <w:top w:val="single" w:sz="4" w:space="0" w:color="auto"/>
              <w:left w:val="nil"/>
              <w:bottom w:val="nil"/>
              <w:right w:val="single" w:sz="4" w:space="0" w:color="auto"/>
            </w:tcBorders>
            <w:shd w:val="clear" w:color="auto" w:fill="1800C8"/>
            <w:noWrap/>
            <w:vAlign w:val="bottom"/>
            <w:hideMark/>
          </w:tcPr>
          <w:p w:rsidR="000F131D" w:rsidRPr="000F131D" w:rsidRDefault="000F131D" w:rsidP="000F131D">
            <w:pPr>
              <w:ind w:firstLine="0"/>
              <w:rPr>
                <w:rFonts w:cs="Calibri"/>
                <w:b/>
                <w:color w:val="FFFFFF" w:themeColor="background1"/>
                <w:lang w:bidi="ar-SA"/>
              </w:rPr>
            </w:pPr>
            <w:r w:rsidRPr="000F131D">
              <w:rPr>
                <w:rFonts w:cs="Calibri"/>
                <w:b/>
                <w:color w:val="FFFFFF" w:themeColor="background1"/>
                <w:lang w:bidi="ar-SA"/>
              </w:rPr>
              <w:t> </w:t>
            </w:r>
          </w:p>
        </w:tc>
      </w:tr>
      <w:tr w:rsidR="00A25573" w:rsidRPr="00A25573" w:rsidTr="00A25573">
        <w:trPr>
          <w:trHeight w:val="300"/>
        </w:trPr>
        <w:tc>
          <w:tcPr>
            <w:tcW w:w="3020" w:type="dxa"/>
            <w:tcBorders>
              <w:top w:val="nil"/>
              <w:left w:val="single" w:sz="4" w:space="0" w:color="auto"/>
              <w:bottom w:val="single" w:sz="4" w:space="0" w:color="auto"/>
              <w:right w:val="single" w:sz="4" w:space="0" w:color="auto"/>
            </w:tcBorders>
            <w:shd w:val="clear" w:color="auto" w:fill="1800C8"/>
            <w:noWrap/>
            <w:vAlign w:val="bottom"/>
            <w:hideMark/>
          </w:tcPr>
          <w:p w:rsidR="000F131D" w:rsidRPr="000F131D" w:rsidRDefault="000F131D" w:rsidP="00941EA9">
            <w:pPr>
              <w:ind w:firstLine="0"/>
              <w:jc w:val="center"/>
              <w:rPr>
                <w:rFonts w:cs="Calibri"/>
                <w:b/>
                <w:color w:val="FFFFFF" w:themeColor="background1"/>
                <w:lang w:bidi="ar-SA"/>
              </w:rPr>
            </w:pPr>
          </w:p>
        </w:tc>
        <w:tc>
          <w:tcPr>
            <w:tcW w:w="1052" w:type="dxa"/>
            <w:tcBorders>
              <w:top w:val="nil"/>
              <w:left w:val="nil"/>
              <w:bottom w:val="single" w:sz="4" w:space="0" w:color="auto"/>
              <w:right w:val="nil"/>
            </w:tcBorders>
            <w:shd w:val="clear" w:color="auto" w:fill="1800C8"/>
            <w:noWrap/>
            <w:vAlign w:val="bottom"/>
            <w:hideMark/>
          </w:tcPr>
          <w:p w:rsidR="000F131D" w:rsidRPr="000F131D" w:rsidRDefault="000F131D" w:rsidP="00941EA9">
            <w:pPr>
              <w:ind w:firstLine="0"/>
              <w:jc w:val="center"/>
              <w:rPr>
                <w:rFonts w:cs="Calibri"/>
                <w:b/>
                <w:color w:val="FFFFFF" w:themeColor="background1"/>
                <w:lang w:bidi="ar-SA"/>
              </w:rPr>
            </w:pPr>
            <w:r w:rsidRPr="000F131D">
              <w:rPr>
                <w:rFonts w:cs="Calibri"/>
                <w:b/>
                <w:color w:val="FFFFFF" w:themeColor="background1"/>
                <w:lang w:bidi="ar-SA"/>
              </w:rPr>
              <w:t>0-25%</w:t>
            </w:r>
          </w:p>
        </w:tc>
        <w:tc>
          <w:tcPr>
            <w:tcW w:w="1249" w:type="dxa"/>
            <w:tcBorders>
              <w:top w:val="nil"/>
              <w:left w:val="nil"/>
              <w:bottom w:val="single" w:sz="4" w:space="0" w:color="auto"/>
              <w:right w:val="nil"/>
            </w:tcBorders>
            <w:shd w:val="clear" w:color="auto" w:fill="1800C8"/>
            <w:noWrap/>
            <w:vAlign w:val="bottom"/>
            <w:hideMark/>
          </w:tcPr>
          <w:p w:rsidR="000F131D" w:rsidRPr="000F131D" w:rsidRDefault="000F131D" w:rsidP="00941EA9">
            <w:pPr>
              <w:ind w:firstLine="0"/>
              <w:jc w:val="center"/>
              <w:rPr>
                <w:rFonts w:cs="Calibri"/>
                <w:b/>
                <w:color w:val="FFFFFF" w:themeColor="background1"/>
                <w:lang w:bidi="ar-SA"/>
              </w:rPr>
            </w:pPr>
            <w:r w:rsidRPr="000F131D">
              <w:rPr>
                <w:rFonts w:cs="Calibri"/>
                <w:b/>
                <w:color w:val="FFFFFF" w:themeColor="background1"/>
                <w:lang w:bidi="ar-SA"/>
              </w:rPr>
              <w:t>26-75%</w:t>
            </w:r>
          </w:p>
        </w:tc>
        <w:tc>
          <w:tcPr>
            <w:tcW w:w="1249" w:type="dxa"/>
            <w:tcBorders>
              <w:top w:val="nil"/>
              <w:left w:val="nil"/>
              <w:bottom w:val="single" w:sz="4" w:space="0" w:color="auto"/>
              <w:right w:val="nil"/>
            </w:tcBorders>
            <w:shd w:val="clear" w:color="auto" w:fill="1800C8"/>
            <w:noWrap/>
            <w:vAlign w:val="bottom"/>
            <w:hideMark/>
          </w:tcPr>
          <w:p w:rsidR="000F131D" w:rsidRPr="000F131D" w:rsidRDefault="000F131D" w:rsidP="00941EA9">
            <w:pPr>
              <w:ind w:firstLine="0"/>
              <w:jc w:val="center"/>
              <w:rPr>
                <w:rFonts w:cs="Calibri"/>
                <w:b/>
                <w:color w:val="FFFFFF" w:themeColor="background1"/>
                <w:lang w:bidi="ar-SA"/>
              </w:rPr>
            </w:pPr>
            <w:r w:rsidRPr="000F131D">
              <w:rPr>
                <w:rFonts w:cs="Calibri"/>
                <w:b/>
                <w:color w:val="FFFFFF" w:themeColor="background1"/>
                <w:lang w:bidi="ar-SA"/>
              </w:rPr>
              <w:t>76-99%</w:t>
            </w:r>
          </w:p>
        </w:tc>
        <w:tc>
          <w:tcPr>
            <w:tcW w:w="930" w:type="dxa"/>
            <w:tcBorders>
              <w:top w:val="nil"/>
              <w:left w:val="nil"/>
              <w:bottom w:val="single" w:sz="4" w:space="0" w:color="auto"/>
              <w:right w:val="single" w:sz="4" w:space="0" w:color="auto"/>
            </w:tcBorders>
            <w:shd w:val="clear" w:color="auto" w:fill="1800C8"/>
            <w:noWrap/>
            <w:vAlign w:val="bottom"/>
            <w:hideMark/>
          </w:tcPr>
          <w:p w:rsidR="000F131D" w:rsidRPr="000F131D" w:rsidRDefault="000F131D" w:rsidP="00941EA9">
            <w:pPr>
              <w:ind w:firstLine="0"/>
              <w:jc w:val="center"/>
              <w:rPr>
                <w:rFonts w:cs="Calibri"/>
                <w:b/>
                <w:color w:val="FFFFFF" w:themeColor="background1"/>
                <w:lang w:bidi="ar-SA"/>
              </w:rPr>
            </w:pPr>
            <w:r w:rsidRPr="000F131D">
              <w:rPr>
                <w:rFonts w:cs="Calibri"/>
                <w:b/>
                <w:color w:val="FFFFFF" w:themeColor="background1"/>
                <w:lang w:bidi="ar-SA"/>
              </w:rPr>
              <w:t>100%</w:t>
            </w:r>
          </w:p>
        </w:tc>
        <w:tc>
          <w:tcPr>
            <w:tcW w:w="1120" w:type="dxa"/>
            <w:tcBorders>
              <w:top w:val="nil"/>
              <w:left w:val="nil"/>
              <w:bottom w:val="single" w:sz="4" w:space="0" w:color="auto"/>
              <w:right w:val="single" w:sz="4" w:space="0" w:color="auto"/>
            </w:tcBorders>
            <w:shd w:val="clear" w:color="auto" w:fill="1800C8"/>
            <w:noWrap/>
            <w:vAlign w:val="bottom"/>
            <w:hideMark/>
          </w:tcPr>
          <w:p w:rsidR="000F131D" w:rsidRPr="000F131D" w:rsidRDefault="000F131D" w:rsidP="00941EA9">
            <w:pPr>
              <w:ind w:firstLine="0"/>
              <w:jc w:val="center"/>
              <w:rPr>
                <w:rFonts w:cs="Calibri"/>
                <w:b/>
                <w:color w:val="FFFFFF" w:themeColor="background1"/>
                <w:lang w:bidi="ar-SA"/>
              </w:rPr>
            </w:pPr>
            <w:r w:rsidRPr="000F131D">
              <w:rPr>
                <w:rFonts w:cs="Calibri"/>
                <w:b/>
                <w:color w:val="FFFFFF" w:themeColor="background1"/>
                <w:lang w:bidi="ar-SA"/>
              </w:rPr>
              <w:t>Total</w:t>
            </w:r>
          </w:p>
        </w:tc>
      </w:tr>
      <w:tr w:rsidR="000F131D" w:rsidRPr="000F131D" w:rsidTr="000F131D">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0F131D" w:rsidRPr="000F131D" w:rsidRDefault="000F131D" w:rsidP="000F131D">
            <w:pPr>
              <w:ind w:firstLine="0"/>
              <w:rPr>
                <w:rFonts w:cs="Calibri"/>
                <w:color w:val="000000"/>
                <w:lang w:bidi="ar-SA"/>
              </w:rPr>
            </w:pPr>
            <w:r w:rsidRPr="000F131D">
              <w:rPr>
                <w:rFonts w:cs="Calibri"/>
                <w:color w:val="000000"/>
                <w:lang w:bidi="ar-SA"/>
              </w:rPr>
              <w:t>Occupational Endorsements</w:t>
            </w:r>
          </w:p>
        </w:tc>
        <w:tc>
          <w:tcPr>
            <w:tcW w:w="1052" w:type="dxa"/>
            <w:tcBorders>
              <w:top w:val="nil"/>
              <w:left w:val="nil"/>
              <w:bottom w:val="nil"/>
              <w:right w:val="nil"/>
            </w:tcBorders>
            <w:shd w:val="clear" w:color="auto" w:fill="auto"/>
            <w:noWrap/>
            <w:vAlign w:val="bottom"/>
            <w:hideMark/>
          </w:tcPr>
          <w:p w:rsidR="000F131D" w:rsidRPr="000F131D" w:rsidRDefault="000F131D" w:rsidP="000F131D">
            <w:pPr>
              <w:ind w:firstLine="0"/>
              <w:rPr>
                <w:rFonts w:cs="Calibri"/>
                <w:color w:val="000000"/>
                <w:lang w:bidi="ar-SA"/>
              </w:rPr>
            </w:pPr>
          </w:p>
        </w:tc>
        <w:tc>
          <w:tcPr>
            <w:tcW w:w="1249" w:type="dxa"/>
            <w:tcBorders>
              <w:top w:val="nil"/>
              <w:left w:val="nil"/>
              <w:bottom w:val="nil"/>
              <w:right w:val="nil"/>
            </w:tcBorders>
            <w:shd w:val="clear" w:color="auto" w:fill="auto"/>
            <w:noWrap/>
            <w:vAlign w:val="bottom"/>
            <w:hideMark/>
          </w:tcPr>
          <w:p w:rsidR="000F131D" w:rsidRPr="000F131D" w:rsidRDefault="000F131D" w:rsidP="000F131D">
            <w:pPr>
              <w:ind w:firstLine="0"/>
              <w:rPr>
                <w:rFonts w:cs="Calibri"/>
                <w:color w:val="000000"/>
                <w:lang w:bidi="ar-SA"/>
              </w:rPr>
            </w:pPr>
          </w:p>
        </w:tc>
        <w:tc>
          <w:tcPr>
            <w:tcW w:w="1249" w:type="dxa"/>
            <w:tcBorders>
              <w:top w:val="nil"/>
              <w:left w:val="nil"/>
              <w:bottom w:val="nil"/>
              <w:right w:val="nil"/>
            </w:tcBorders>
            <w:shd w:val="clear" w:color="auto" w:fill="auto"/>
            <w:noWrap/>
            <w:vAlign w:val="bottom"/>
            <w:hideMark/>
          </w:tcPr>
          <w:p w:rsidR="000F131D" w:rsidRPr="000F131D" w:rsidRDefault="000F131D" w:rsidP="000F131D">
            <w:pPr>
              <w:ind w:firstLine="0"/>
              <w:jc w:val="right"/>
              <w:rPr>
                <w:rFonts w:cs="Calibri"/>
                <w:color w:val="000000"/>
                <w:lang w:bidi="ar-SA"/>
              </w:rPr>
            </w:pPr>
            <w:r w:rsidRPr="000F131D">
              <w:rPr>
                <w:rFonts w:cs="Calibri"/>
                <w:color w:val="000000"/>
                <w:lang w:bidi="ar-SA"/>
              </w:rPr>
              <w:t>7</w:t>
            </w:r>
          </w:p>
        </w:tc>
        <w:tc>
          <w:tcPr>
            <w:tcW w:w="930" w:type="dxa"/>
            <w:tcBorders>
              <w:top w:val="nil"/>
              <w:left w:val="nil"/>
              <w:bottom w:val="nil"/>
              <w:right w:val="nil"/>
            </w:tcBorders>
            <w:shd w:val="clear" w:color="auto" w:fill="auto"/>
            <w:noWrap/>
            <w:vAlign w:val="bottom"/>
            <w:hideMark/>
          </w:tcPr>
          <w:p w:rsidR="000F131D" w:rsidRPr="000F131D" w:rsidRDefault="000F131D" w:rsidP="000F131D">
            <w:pPr>
              <w:ind w:firstLine="0"/>
              <w:jc w:val="right"/>
              <w:rPr>
                <w:rFonts w:cs="Calibri"/>
                <w:color w:val="000000"/>
                <w:lang w:bidi="ar-SA"/>
              </w:rPr>
            </w:pPr>
            <w:r w:rsidRPr="000F131D">
              <w:rPr>
                <w:rFonts w:cs="Calibri"/>
                <w:color w:val="000000"/>
                <w:lang w:bidi="ar-SA"/>
              </w:rPr>
              <w:t>4</w:t>
            </w:r>
          </w:p>
        </w:tc>
        <w:tc>
          <w:tcPr>
            <w:tcW w:w="1120" w:type="dxa"/>
            <w:tcBorders>
              <w:top w:val="nil"/>
              <w:left w:val="single" w:sz="4" w:space="0" w:color="auto"/>
              <w:bottom w:val="nil"/>
              <w:right w:val="single" w:sz="4" w:space="0" w:color="auto"/>
            </w:tcBorders>
            <w:shd w:val="clear" w:color="auto" w:fill="auto"/>
            <w:noWrap/>
            <w:vAlign w:val="bottom"/>
            <w:hideMark/>
          </w:tcPr>
          <w:p w:rsidR="000F131D" w:rsidRPr="000F131D" w:rsidRDefault="000F131D" w:rsidP="000F131D">
            <w:pPr>
              <w:ind w:firstLine="0"/>
              <w:jc w:val="right"/>
              <w:rPr>
                <w:rFonts w:cs="Calibri"/>
                <w:color w:val="000000"/>
                <w:lang w:bidi="ar-SA"/>
              </w:rPr>
            </w:pPr>
            <w:r w:rsidRPr="000F131D">
              <w:rPr>
                <w:rFonts w:cs="Calibri"/>
                <w:color w:val="000000"/>
                <w:lang w:bidi="ar-SA"/>
              </w:rPr>
              <w:t>11</w:t>
            </w:r>
          </w:p>
        </w:tc>
      </w:tr>
      <w:tr w:rsidR="000F131D" w:rsidRPr="000F131D" w:rsidTr="000F131D">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0F131D" w:rsidRPr="000F131D" w:rsidRDefault="000F131D" w:rsidP="000F131D">
            <w:pPr>
              <w:ind w:firstLine="0"/>
              <w:rPr>
                <w:rFonts w:cs="Calibri"/>
                <w:color w:val="000000"/>
                <w:lang w:bidi="ar-SA"/>
              </w:rPr>
            </w:pPr>
            <w:r w:rsidRPr="000F131D">
              <w:rPr>
                <w:rFonts w:cs="Calibri"/>
                <w:color w:val="000000"/>
                <w:lang w:bidi="ar-SA"/>
              </w:rPr>
              <w:t>Certificate</w:t>
            </w:r>
          </w:p>
        </w:tc>
        <w:tc>
          <w:tcPr>
            <w:tcW w:w="1052" w:type="dxa"/>
            <w:tcBorders>
              <w:top w:val="nil"/>
              <w:left w:val="nil"/>
              <w:bottom w:val="nil"/>
              <w:right w:val="nil"/>
            </w:tcBorders>
            <w:shd w:val="clear" w:color="auto" w:fill="auto"/>
            <w:noWrap/>
            <w:vAlign w:val="bottom"/>
            <w:hideMark/>
          </w:tcPr>
          <w:p w:rsidR="000F131D" w:rsidRPr="000F131D" w:rsidRDefault="000F131D" w:rsidP="000F131D">
            <w:pPr>
              <w:ind w:firstLine="0"/>
              <w:jc w:val="right"/>
              <w:rPr>
                <w:rFonts w:cs="Calibri"/>
                <w:color w:val="000000"/>
                <w:lang w:bidi="ar-SA"/>
              </w:rPr>
            </w:pPr>
            <w:r w:rsidRPr="000F131D">
              <w:rPr>
                <w:rFonts w:cs="Calibri"/>
                <w:color w:val="000000"/>
                <w:lang w:bidi="ar-SA"/>
              </w:rPr>
              <w:t>13</w:t>
            </w:r>
          </w:p>
        </w:tc>
        <w:tc>
          <w:tcPr>
            <w:tcW w:w="1249" w:type="dxa"/>
            <w:tcBorders>
              <w:top w:val="nil"/>
              <w:left w:val="nil"/>
              <w:bottom w:val="nil"/>
              <w:right w:val="nil"/>
            </w:tcBorders>
            <w:shd w:val="clear" w:color="auto" w:fill="auto"/>
            <w:noWrap/>
            <w:vAlign w:val="bottom"/>
            <w:hideMark/>
          </w:tcPr>
          <w:p w:rsidR="000F131D" w:rsidRPr="000F131D" w:rsidRDefault="000F131D" w:rsidP="000F131D">
            <w:pPr>
              <w:ind w:firstLine="0"/>
              <w:jc w:val="right"/>
              <w:rPr>
                <w:rFonts w:cs="Calibri"/>
                <w:color w:val="000000"/>
                <w:lang w:bidi="ar-SA"/>
              </w:rPr>
            </w:pPr>
            <w:r w:rsidRPr="000F131D">
              <w:rPr>
                <w:rFonts w:cs="Calibri"/>
                <w:color w:val="000000"/>
                <w:lang w:bidi="ar-SA"/>
              </w:rPr>
              <w:t>5</w:t>
            </w:r>
          </w:p>
        </w:tc>
        <w:tc>
          <w:tcPr>
            <w:tcW w:w="1249" w:type="dxa"/>
            <w:tcBorders>
              <w:top w:val="nil"/>
              <w:left w:val="nil"/>
              <w:bottom w:val="nil"/>
              <w:right w:val="nil"/>
            </w:tcBorders>
            <w:shd w:val="clear" w:color="auto" w:fill="auto"/>
            <w:noWrap/>
            <w:vAlign w:val="bottom"/>
            <w:hideMark/>
          </w:tcPr>
          <w:p w:rsidR="000F131D" w:rsidRPr="000F131D" w:rsidRDefault="000F131D" w:rsidP="000F131D">
            <w:pPr>
              <w:ind w:firstLine="0"/>
              <w:jc w:val="right"/>
              <w:rPr>
                <w:rFonts w:cs="Calibri"/>
                <w:color w:val="000000"/>
                <w:lang w:bidi="ar-SA"/>
              </w:rPr>
            </w:pPr>
            <w:r w:rsidRPr="000F131D">
              <w:rPr>
                <w:rFonts w:cs="Calibri"/>
                <w:color w:val="000000"/>
                <w:lang w:bidi="ar-SA"/>
              </w:rPr>
              <w:t>6</w:t>
            </w:r>
          </w:p>
        </w:tc>
        <w:tc>
          <w:tcPr>
            <w:tcW w:w="930" w:type="dxa"/>
            <w:tcBorders>
              <w:top w:val="nil"/>
              <w:left w:val="nil"/>
              <w:bottom w:val="nil"/>
              <w:right w:val="nil"/>
            </w:tcBorders>
            <w:shd w:val="clear" w:color="auto" w:fill="auto"/>
            <w:noWrap/>
            <w:vAlign w:val="bottom"/>
            <w:hideMark/>
          </w:tcPr>
          <w:p w:rsidR="000F131D" w:rsidRPr="000F131D" w:rsidRDefault="000F131D" w:rsidP="000F131D">
            <w:pPr>
              <w:ind w:firstLine="0"/>
              <w:jc w:val="right"/>
              <w:rPr>
                <w:rFonts w:cs="Calibri"/>
                <w:color w:val="000000"/>
                <w:lang w:bidi="ar-SA"/>
              </w:rPr>
            </w:pPr>
            <w:r w:rsidRPr="000F131D">
              <w:rPr>
                <w:rFonts w:cs="Calibri"/>
                <w:color w:val="000000"/>
                <w:lang w:bidi="ar-SA"/>
              </w:rPr>
              <w:t>4</w:t>
            </w:r>
          </w:p>
        </w:tc>
        <w:tc>
          <w:tcPr>
            <w:tcW w:w="1120" w:type="dxa"/>
            <w:tcBorders>
              <w:top w:val="nil"/>
              <w:left w:val="single" w:sz="4" w:space="0" w:color="auto"/>
              <w:bottom w:val="nil"/>
              <w:right w:val="single" w:sz="4" w:space="0" w:color="auto"/>
            </w:tcBorders>
            <w:shd w:val="clear" w:color="auto" w:fill="auto"/>
            <w:noWrap/>
            <w:vAlign w:val="bottom"/>
            <w:hideMark/>
          </w:tcPr>
          <w:p w:rsidR="000F131D" w:rsidRPr="000F131D" w:rsidRDefault="000F131D" w:rsidP="000F131D">
            <w:pPr>
              <w:ind w:firstLine="0"/>
              <w:jc w:val="right"/>
              <w:rPr>
                <w:rFonts w:cs="Calibri"/>
                <w:color w:val="000000"/>
                <w:lang w:bidi="ar-SA"/>
              </w:rPr>
            </w:pPr>
            <w:r w:rsidRPr="000F131D">
              <w:rPr>
                <w:rFonts w:cs="Calibri"/>
                <w:color w:val="000000"/>
                <w:lang w:bidi="ar-SA"/>
              </w:rPr>
              <w:t>28</w:t>
            </w:r>
          </w:p>
        </w:tc>
      </w:tr>
      <w:tr w:rsidR="000F131D" w:rsidRPr="000F131D" w:rsidTr="000F131D">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0F131D" w:rsidRPr="000F131D" w:rsidRDefault="000F131D" w:rsidP="000F131D">
            <w:pPr>
              <w:ind w:firstLine="0"/>
              <w:rPr>
                <w:rFonts w:cs="Calibri"/>
                <w:color w:val="000000"/>
                <w:lang w:bidi="ar-SA"/>
              </w:rPr>
            </w:pPr>
            <w:r w:rsidRPr="000F131D">
              <w:rPr>
                <w:rFonts w:cs="Calibri"/>
                <w:color w:val="000000"/>
                <w:lang w:bidi="ar-SA"/>
              </w:rPr>
              <w:t>Associate Degrees</w:t>
            </w:r>
          </w:p>
        </w:tc>
        <w:tc>
          <w:tcPr>
            <w:tcW w:w="1052" w:type="dxa"/>
            <w:tcBorders>
              <w:top w:val="nil"/>
              <w:left w:val="nil"/>
              <w:bottom w:val="nil"/>
              <w:right w:val="nil"/>
            </w:tcBorders>
            <w:shd w:val="clear" w:color="auto" w:fill="auto"/>
            <w:noWrap/>
            <w:vAlign w:val="bottom"/>
            <w:hideMark/>
          </w:tcPr>
          <w:p w:rsidR="000F131D" w:rsidRPr="000F131D" w:rsidRDefault="000F131D" w:rsidP="000F131D">
            <w:pPr>
              <w:ind w:firstLine="0"/>
              <w:jc w:val="right"/>
              <w:rPr>
                <w:rFonts w:cs="Calibri"/>
                <w:color w:val="000000"/>
                <w:lang w:bidi="ar-SA"/>
              </w:rPr>
            </w:pPr>
            <w:r w:rsidRPr="000F131D">
              <w:rPr>
                <w:rFonts w:cs="Calibri"/>
                <w:color w:val="000000"/>
                <w:lang w:bidi="ar-SA"/>
              </w:rPr>
              <w:t>11</w:t>
            </w:r>
          </w:p>
        </w:tc>
        <w:tc>
          <w:tcPr>
            <w:tcW w:w="1249" w:type="dxa"/>
            <w:tcBorders>
              <w:top w:val="nil"/>
              <w:left w:val="nil"/>
              <w:bottom w:val="nil"/>
              <w:right w:val="nil"/>
            </w:tcBorders>
            <w:shd w:val="clear" w:color="auto" w:fill="auto"/>
            <w:noWrap/>
            <w:vAlign w:val="bottom"/>
            <w:hideMark/>
          </w:tcPr>
          <w:p w:rsidR="000F131D" w:rsidRPr="000F131D" w:rsidRDefault="000F131D" w:rsidP="000F131D">
            <w:pPr>
              <w:ind w:firstLine="0"/>
              <w:jc w:val="right"/>
              <w:rPr>
                <w:rFonts w:cs="Calibri"/>
                <w:color w:val="000000"/>
                <w:lang w:bidi="ar-SA"/>
              </w:rPr>
            </w:pPr>
            <w:r w:rsidRPr="000F131D">
              <w:rPr>
                <w:rFonts w:cs="Calibri"/>
                <w:color w:val="000000"/>
                <w:lang w:bidi="ar-SA"/>
              </w:rPr>
              <w:t>3</w:t>
            </w:r>
          </w:p>
        </w:tc>
        <w:tc>
          <w:tcPr>
            <w:tcW w:w="1249" w:type="dxa"/>
            <w:tcBorders>
              <w:top w:val="nil"/>
              <w:left w:val="nil"/>
              <w:bottom w:val="nil"/>
              <w:right w:val="nil"/>
            </w:tcBorders>
            <w:shd w:val="clear" w:color="auto" w:fill="auto"/>
            <w:noWrap/>
            <w:vAlign w:val="bottom"/>
            <w:hideMark/>
          </w:tcPr>
          <w:p w:rsidR="000F131D" w:rsidRPr="000F131D" w:rsidRDefault="000F131D" w:rsidP="000F131D">
            <w:pPr>
              <w:ind w:firstLine="0"/>
              <w:jc w:val="right"/>
              <w:rPr>
                <w:rFonts w:cs="Calibri"/>
                <w:color w:val="000000"/>
                <w:lang w:bidi="ar-SA"/>
              </w:rPr>
            </w:pPr>
            <w:r w:rsidRPr="000F131D">
              <w:rPr>
                <w:rFonts w:cs="Calibri"/>
                <w:color w:val="000000"/>
                <w:lang w:bidi="ar-SA"/>
              </w:rPr>
              <w:t>6</w:t>
            </w:r>
          </w:p>
        </w:tc>
        <w:tc>
          <w:tcPr>
            <w:tcW w:w="930" w:type="dxa"/>
            <w:tcBorders>
              <w:top w:val="nil"/>
              <w:left w:val="nil"/>
              <w:bottom w:val="nil"/>
              <w:right w:val="nil"/>
            </w:tcBorders>
            <w:shd w:val="clear" w:color="auto" w:fill="auto"/>
            <w:noWrap/>
            <w:vAlign w:val="bottom"/>
            <w:hideMark/>
          </w:tcPr>
          <w:p w:rsidR="000F131D" w:rsidRPr="000F131D" w:rsidRDefault="000F131D" w:rsidP="000F131D">
            <w:pPr>
              <w:ind w:firstLine="0"/>
              <w:jc w:val="right"/>
              <w:rPr>
                <w:rFonts w:cs="Calibri"/>
                <w:color w:val="000000"/>
                <w:lang w:bidi="ar-SA"/>
              </w:rPr>
            </w:pPr>
            <w:r w:rsidRPr="000F131D">
              <w:rPr>
                <w:rFonts w:cs="Calibri"/>
                <w:color w:val="000000"/>
                <w:lang w:bidi="ar-SA"/>
              </w:rPr>
              <w:t>5</w:t>
            </w:r>
          </w:p>
        </w:tc>
        <w:tc>
          <w:tcPr>
            <w:tcW w:w="1120" w:type="dxa"/>
            <w:tcBorders>
              <w:top w:val="nil"/>
              <w:left w:val="single" w:sz="4" w:space="0" w:color="auto"/>
              <w:bottom w:val="nil"/>
              <w:right w:val="single" w:sz="4" w:space="0" w:color="auto"/>
            </w:tcBorders>
            <w:shd w:val="clear" w:color="auto" w:fill="auto"/>
            <w:noWrap/>
            <w:vAlign w:val="bottom"/>
            <w:hideMark/>
          </w:tcPr>
          <w:p w:rsidR="000F131D" w:rsidRPr="000F131D" w:rsidRDefault="000F131D" w:rsidP="000F131D">
            <w:pPr>
              <w:ind w:firstLine="0"/>
              <w:jc w:val="right"/>
              <w:rPr>
                <w:rFonts w:cs="Calibri"/>
                <w:color w:val="000000"/>
                <w:lang w:bidi="ar-SA"/>
              </w:rPr>
            </w:pPr>
            <w:r w:rsidRPr="000F131D">
              <w:rPr>
                <w:rFonts w:cs="Calibri"/>
                <w:color w:val="000000"/>
                <w:lang w:bidi="ar-SA"/>
              </w:rPr>
              <w:t>25</w:t>
            </w:r>
          </w:p>
        </w:tc>
      </w:tr>
      <w:tr w:rsidR="000F131D" w:rsidRPr="000F131D" w:rsidTr="000F131D">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0F131D" w:rsidRPr="000F131D" w:rsidRDefault="000F131D" w:rsidP="000F131D">
            <w:pPr>
              <w:ind w:firstLine="0"/>
              <w:rPr>
                <w:rFonts w:cs="Calibri"/>
                <w:color w:val="000000"/>
                <w:lang w:bidi="ar-SA"/>
              </w:rPr>
            </w:pPr>
            <w:r w:rsidRPr="000F131D">
              <w:rPr>
                <w:rFonts w:cs="Calibri"/>
                <w:color w:val="000000"/>
                <w:lang w:bidi="ar-SA"/>
              </w:rPr>
              <w:t>Bachelor's Degrees</w:t>
            </w:r>
          </w:p>
        </w:tc>
        <w:tc>
          <w:tcPr>
            <w:tcW w:w="1052" w:type="dxa"/>
            <w:tcBorders>
              <w:top w:val="nil"/>
              <w:left w:val="nil"/>
              <w:bottom w:val="nil"/>
              <w:right w:val="nil"/>
            </w:tcBorders>
            <w:shd w:val="clear" w:color="auto" w:fill="auto"/>
            <w:noWrap/>
            <w:vAlign w:val="bottom"/>
            <w:hideMark/>
          </w:tcPr>
          <w:p w:rsidR="000F131D" w:rsidRPr="000F131D" w:rsidRDefault="000F131D" w:rsidP="000F131D">
            <w:pPr>
              <w:ind w:firstLine="0"/>
              <w:rPr>
                <w:rFonts w:cs="Calibri"/>
                <w:color w:val="000000"/>
                <w:lang w:bidi="ar-SA"/>
              </w:rPr>
            </w:pPr>
          </w:p>
        </w:tc>
        <w:tc>
          <w:tcPr>
            <w:tcW w:w="1249" w:type="dxa"/>
            <w:tcBorders>
              <w:top w:val="nil"/>
              <w:left w:val="nil"/>
              <w:bottom w:val="nil"/>
              <w:right w:val="nil"/>
            </w:tcBorders>
            <w:shd w:val="clear" w:color="auto" w:fill="auto"/>
            <w:noWrap/>
            <w:vAlign w:val="bottom"/>
            <w:hideMark/>
          </w:tcPr>
          <w:p w:rsidR="000F131D" w:rsidRPr="000F131D" w:rsidRDefault="000F131D" w:rsidP="000F131D">
            <w:pPr>
              <w:ind w:firstLine="0"/>
              <w:jc w:val="right"/>
              <w:rPr>
                <w:rFonts w:cs="Calibri"/>
                <w:color w:val="000000"/>
                <w:lang w:bidi="ar-SA"/>
              </w:rPr>
            </w:pPr>
            <w:r w:rsidRPr="000F131D">
              <w:rPr>
                <w:rFonts w:cs="Calibri"/>
                <w:color w:val="000000"/>
                <w:lang w:bidi="ar-SA"/>
              </w:rPr>
              <w:t>40</w:t>
            </w:r>
          </w:p>
        </w:tc>
        <w:tc>
          <w:tcPr>
            <w:tcW w:w="1249" w:type="dxa"/>
            <w:tcBorders>
              <w:top w:val="nil"/>
              <w:left w:val="nil"/>
              <w:bottom w:val="nil"/>
              <w:right w:val="nil"/>
            </w:tcBorders>
            <w:shd w:val="clear" w:color="auto" w:fill="auto"/>
            <w:noWrap/>
            <w:vAlign w:val="bottom"/>
            <w:hideMark/>
          </w:tcPr>
          <w:p w:rsidR="000F131D" w:rsidRPr="000F131D" w:rsidRDefault="000F131D" w:rsidP="000F131D">
            <w:pPr>
              <w:ind w:firstLine="0"/>
              <w:jc w:val="right"/>
              <w:rPr>
                <w:rFonts w:cs="Calibri"/>
                <w:color w:val="000000"/>
                <w:lang w:bidi="ar-SA"/>
              </w:rPr>
            </w:pPr>
            <w:r w:rsidRPr="000F131D">
              <w:rPr>
                <w:rFonts w:cs="Calibri"/>
                <w:color w:val="000000"/>
                <w:lang w:bidi="ar-SA"/>
              </w:rPr>
              <w:t>22</w:t>
            </w:r>
          </w:p>
        </w:tc>
        <w:tc>
          <w:tcPr>
            <w:tcW w:w="930" w:type="dxa"/>
            <w:tcBorders>
              <w:top w:val="nil"/>
              <w:left w:val="nil"/>
              <w:bottom w:val="nil"/>
              <w:right w:val="nil"/>
            </w:tcBorders>
            <w:shd w:val="clear" w:color="auto" w:fill="auto"/>
            <w:noWrap/>
            <w:vAlign w:val="bottom"/>
            <w:hideMark/>
          </w:tcPr>
          <w:p w:rsidR="000F131D" w:rsidRPr="000F131D" w:rsidRDefault="000F131D" w:rsidP="000F131D">
            <w:pPr>
              <w:ind w:firstLine="0"/>
              <w:jc w:val="right"/>
              <w:rPr>
                <w:rFonts w:cs="Calibri"/>
                <w:color w:val="000000"/>
                <w:lang w:bidi="ar-SA"/>
              </w:rPr>
            </w:pPr>
            <w:r w:rsidRPr="000F131D">
              <w:rPr>
                <w:rFonts w:cs="Calibri"/>
                <w:color w:val="000000"/>
                <w:lang w:bidi="ar-SA"/>
              </w:rPr>
              <w:t>1</w:t>
            </w:r>
          </w:p>
        </w:tc>
        <w:tc>
          <w:tcPr>
            <w:tcW w:w="1120" w:type="dxa"/>
            <w:tcBorders>
              <w:top w:val="nil"/>
              <w:left w:val="single" w:sz="4" w:space="0" w:color="auto"/>
              <w:bottom w:val="nil"/>
              <w:right w:val="single" w:sz="4" w:space="0" w:color="auto"/>
            </w:tcBorders>
            <w:shd w:val="clear" w:color="auto" w:fill="auto"/>
            <w:noWrap/>
            <w:vAlign w:val="bottom"/>
            <w:hideMark/>
          </w:tcPr>
          <w:p w:rsidR="000F131D" w:rsidRPr="000F131D" w:rsidRDefault="000F131D" w:rsidP="000F131D">
            <w:pPr>
              <w:ind w:firstLine="0"/>
              <w:jc w:val="right"/>
              <w:rPr>
                <w:rFonts w:cs="Calibri"/>
                <w:color w:val="000000"/>
                <w:lang w:bidi="ar-SA"/>
              </w:rPr>
            </w:pPr>
            <w:r w:rsidRPr="000F131D">
              <w:rPr>
                <w:rFonts w:cs="Calibri"/>
                <w:color w:val="000000"/>
                <w:lang w:bidi="ar-SA"/>
              </w:rPr>
              <w:t>63</w:t>
            </w:r>
          </w:p>
        </w:tc>
      </w:tr>
      <w:tr w:rsidR="000F131D" w:rsidRPr="000F131D" w:rsidTr="000F131D">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0F131D" w:rsidRPr="000F131D" w:rsidRDefault="000F131D" w:rsidP="000F131D">
            <w:pPr>
              <w:ind w:firstLine="0"/>
              <w:rPr>
                <w:rFonts w:cs="Calibri"/>
                <w:color w:val="000000"/>
                <w:lang w:bidi="ar-SA"/>
              </w:rPr>
            </w:pPr>
            <w:r w:rsidRPr="000F131D">
              <w:rPr>
                <w:rFonts w:cs="Calibri"/>
                <w:color w:val="000000"/>
                <w:lang w:bidi="ar-SA"/>
              </w:rPr>
              <w:t>Post-Bac</w:t>
            </w:r>
            <w:r>
              <w:rPr>
                <w:rFonts w:cs="Calibri"/>
                <w:color w:val="000000"/>
                <w:lang w:bidi="ar-SA"/>
              </w:rPr>
              <w:t>calaureate Certificate in Education</w:t>
            </w:r>
          </w:p>
        </w:tc>
        <w:tc>
          <w:tcPr>
            <w:tcW w:w="1052" w:type="dxa"/>
            <w:tcBorders>
              <w:top w:val="nil"/>
              <w:left w:val="nil"/>
              <w:bottom w:val="nil"/>
              <w:right w:val="nil"/>
            </w:tcBorders>
            <w:shd w:val="clear" w:color="auto" w:fill="auto"/>
            <w:noWrap/>
            <w:vAlign w:val="bottom"/>
            <w:hideMark/>
          </w:tcPr>
          <w:p w:rsidR="000F131D" w:rsidRPr="000F131D" w:rsidRDefault="000F131D" w:rsidP="000F131D">
            <w:pPr>
              <w:ind w:firstLine="0"/>
              <w:rPr>
                <w:rFonts w:cs="Calibri"/>
                <w:color w:val="000000"/>
                <w:lang w:bidi="ar-SA"/>
              </w:rPr>
            </w:pPr>
          </w:p>
        </w:tc>
        <w:tc>
          <w:tcPr>
            <w:tcW w:w="1249" w:type="dxa"/>
            <w:tcBorders>
              <w:top w:val="nil"/>
              <w:left w:val="nil"/>
              <w:bottom w:val="nil"/>
              <w:right w:val="nil"/>
            </w:tcBorders>
            <w:shd w:val="clear" w:color="auto" w:fill="auto"/>
            <w:noWrap/>
            <w:vAlign w:val="bottom"/>
            <w:hideMark/>
          </w:tcPr>
          <w:p w:rsidR="000F131D" w:rsidRPr="000F131D" w:rsidRDefault="000F131D" w:rsidP="000F131D">
            <w:pPr>
              <w:ind w:firstLine="0"/>
              <w:jc w:val="right"/>
              <w:rPr>
                <w:rFonts w:cs="Calibri"/>
                <w:color w:val="000000"/>
                <w:lang w:bidi="ar-SA"/>
              </w:rPr>
            </w:pPr>
            <w:r w:rsidRPr="000F131D">
              <w:rPr>
                <w:rFonts w:cs="Calibri"/>
                <w:color w:val="000000"/>
                <w:lang w:bidi="ar-SA"/>
              </w:rPr>
              <w:t>2</w:t>
            </w:r>
          </w:p>
        </w:tc>
        <w:tc>
          <w:tcPr>
            <w:tcW w:w="1249" w:type="dxa"/>
            <w:tcBorders>
              <w:top w:val="nil"/>
              <w:left w:val="nil"/>
              <w:bottom w:val="nil"/>
              <w:right w:val="nil"/>
            </w:tcBorders>
            <w:shd w:val="clear" w:color="auto" w:fill="auto"/>
            <w:noWrap/>
            <w:vAlign w:val="bottom"/>
            <w:hideMark/>
          </w:tcPr>
          <w:p w:rsidR="000F131D" w:rsidRPr="000F131D" w:rsidRDefault="000F131D" w:rsidP="000F131D">
            <w:pPr>
              <w:ind w:firstLine="0"/>
              <w:jc w:val="right"/>
              <w:rPr>
                <w:rFonts w:cs="Calibri"/>
                <w:color w:val="000000"/>
                <w:lang w:bidi="ar-SA"/>
              </w:rPr>
            </w:pPr>
            <w:r w:rsidRPr="000F131D">
              <w:rPr>
                <w:rFonts w:cs="Calibri"/>
                <w:color w:val="000000"/>
                <w:lang w:bidi="ar-SA"/>
              </w:rPr>
              <w:t>2</w:t>
            </w:r>
          </w:p>
        </w:tc>
        <w:tc>
          <w:tcPr>
            <w:tcW w:w="930" w:type="dxa"/>
            <w:tcBorders>
              <w:top w:val="nil"/>
              <w:left w:val="nil"/>
              <w:bottom w:val="nil"/>
              <w:right w:val="nil"/>
            </w:tcBorders>
            <w:shd w:val="clear" w:color="auto" w:fill="auto"/>
            <w:noWrap/>
            <w:vAlign w:val="bottom"/>
            <w:hideMark/>
          </w:tcPr>
          <w:p w:rsidR="000F131D" w:rsidRPr="000F131D" w:rsidRDefault="000F131D" w:rsidP="000F131D">
            <w:pPr>
              <w:ind w:firstLine="0"/>
              <w:rPr>
                <w:rFonts w:cs="Calibri"/>
                <w:color w:val="000000"/>
                <w:lang w:bidi="ar-SA"/>
              </w:rPr>
            </w:pPr>
          </w:p>
        </w:tc>
        <w:tc>
          <w:tcPr>
            <w:tcW w:w="1120" w:type="dxa"/>
            <w:tcBorders>
              <w:top w:val="nil"/>
              <w:left w:val="single" w:sz="4" w:space="0" w:color="auto"/>
              <w:bottom w:val="nil"/>
              <w:right w:val="single" w:sz="4" w:space="0" w:color="auto"/>
            </w:tcBorders>
            <w:shd w:val="clear" w:color="auto" w:fill="auto"/>
            <w:noWrap/>
            <w:vAlign w:val="bottom"/>
            <w:hideMark/>
          </w:tcPr>
          <w:p w:rsidR="000F131D" w:rsidRPr="000F131D" w:rsidRDefault="000F131D" w:rsidP="000F131D">
            <w:pPr>
              <w:ind w:firstLine="0"/>
              <w:jc w:val="right"/>
              <w:rPr>
                <w:rFonts w:cs="Calibri"/>
                <w:color w:val="000000"/>
                <w:lang w:bidi="ar-SA"/>
              </w:rPr>
            </w:pPr>
            <w:r w:rsidRPr="000F131D">
              <w:rPr>
                <w:rFonts w:cs="Calibri"/>
                <w:color w:val="000000"/>
                <w:lang w:bidi="ar-SA"/>
              </w:rPr>
              <w:t>4</w:t>
            </w:r>
          </w:p>
        </w:tc>
      </w:tr>
      <w:tr w:rsidR="000F131D" w:rsidRPr="000F131D" w:rsidTr="000F131D">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0F131D" w:rsidRPr="000F131D" w:rsidRDefault="000F131D" w:rsidP="000F131D">
            <w:pPr>
              <w:ind w:firstLine="0"/>
              <w:rPr>
                <w:rFonts w:cs="Calibri"/>
                <w:color w:val="000000"/>
                <w:lang w:bidi="ar-SA"/>
              </w:rPr>
            </w:pPr>
            <w:r w:rsidRPr="000F131D">
              <w:rPr>
                <w:rFonts w:cs="Calibri"/>
                <w:color w:val="000000"/>
                <w:lang w:bidi="ar-SA"/>
              </w:rPr>
              <w:t>Graduate Certificate</w:t>
            </w:r>
          </w:p>
        </w:tc>
        <w:tc>
          <w:tcPr>
            <w:tcW w:w="1052" w:type="dxa"/>
            <w:tcBorders>
              <w:top w:val="nil"/>
              <w:left w:val="nil"/>
              <w:bottom w:val="nil"/>
              <w:right w:val="nil"/>
            </w:tcBorders>
            <w:shd w:val="clear" w:color="auto" w:fill="auto"/>
            <w:noWrap/>
            <w:vAlign w:val="bottom"/>
            <w:hideMark/>
          </w:tcPr>
          <w:p w:rsidR="000F131D" w:rsidRPr="000F131D" w:rsidRDefault="000F131D" w:rsidP="000F131D">
            <w:pPr>
              <w:ind w:firstLine="0"/>
              <w:jc w:val="right"/>
              <w:rPr>
                <w:rFonts w:cs="Calibri"/>
                <w:color w:val="000000"/>
                <w:lang w:bidi="ar-SA"/>
              </w:rPr>
            </w:pPr>
            <w:r w:rsidRPr="000F131D">
              <w:rPr>
                <w:rFonts w:cs="Calibri"/>
                <w:color w:val="000000"/>
                <w:lang w:bidi="ar-SA"/>
              </w:rPr>
              <w:t>1</w:t>
            </w:r>
          </w:p>
        </w:tc>
        <w:tc>
          <w:tcPr>
            <w:tcW w:w="1249" w:type="dxa"/>
            <w:tcBorders>
              <w:top w:val="nil"/>
              <w:left w:val="nil"/>
              <w:bottom w:val="nil"/>
              <w:right w:val="nil"/>
            </w:tcBorders>
            <w:shd w:val="clear" w:color="auto" w:fill="auto"/>
            <w:noWrap/>
            <w:vAlign w:val="bottom"/>
            <w:hideMark/>
          </w:tcPr>
          <w:p w:rsidR="000F131D" w:rsidRPr="000F131D" w:rsidRDefault="000F131D" w:rsidP="000F131D">
            <w:pPr>
              <w:ind w:firstLine="0"/>
              <w:rPr>
                <w:rFonts w:cs="Calibri"/>
                <w:color w:val="000000"/>
                <w:lang w:bidi="ar-SA"/>
              </w:rPr>
            </w:pPr>
          </w:p>
        </w:tc>
        <w:tc>
          <w:tcPr>
            <w:tcW w:w="1249" w:type="dxa"/>
            <w:tcBorders>
              <w:top w:val="nil"/>
              <w:left w:val="nil"/>
              <w:bottom w:val="nil"/>
              <w:right w:val="nil"/>
            </w:tcBorders>
            <w:shd w:val="clear" w:color="auto" w:fill="auto"/>
            <w:noWrap/>
            <w:vAlign w:val="bottom"/>
            <w:hideMark/>
          </w:tcPr>
          <w:p w:rsidR="000F131D" w:rsidRPr="000F131D" w:rsidRDefault="000F131D" w:rsidP="000F131D">
            <w:pPr>
              <w:ind w:firstLine="0"/>
              <w:rPr>
                <w:rFonts w:cs="Calibri"/>
                <w:color w:val="000000"/>
                <w:lang w:bidi="ar-SA"/>
              </w:rPr>
            </w:pPr>
          </w:p>
        </w:tc>
        <w:tc>
          <w:tcPr>
            <w:tcW w:w="930" w:type="dxa"/>
            <w:tcBorders>
              <w:top w:val="nil"/>
              <w:left w:val="nil"/>
              <w:bottom w:val="nil"/>
              <w:right w:val="nil"/>
            </w:tcBorders>
            <w:shd w:val="clear" w:color="auto" w:fill="auto"/>
            <w:noWrap/>
            <w:vAlign w:val="bottom"/>
            <w:hideMark/>
          </w:tcPr>
          <w:p w:rsidR="000F131D" w:rsidRPr="000F131D" w:rsidRDefault="000F131D" w:rsidP="000F131D">
            <w:pPr>
              <w:ind w:firstLine="0"/>
              <w:jc w:val="right"/>
              <w:rPr>
                <w:rFonts w:cs="Calibri"/>
                <w:color w:val="000000"/>
                <w:lang w:bidi="ar-SA"/>
              </w:rPr>
            </w:pPr>
            <w:r w:rsidRPr="000F131D">
              <w:rPr>
                <w:rFonts w:cs="Calibri"/>
                <w:color w:val="000000"/>
                <w:lang w:bidi="ar-SA"/>
              </w:rPr>
              <w:t>1</w:t>
            </w:r>
          </w:p>
        </w:tc>
        <w:tc>
          <w:tcPr>
            <w:tcW w:w="1120" w:type="dxa"/>
            <w:tcBorders>
              <w:top w:val="nil"/>
              <w:left w:val="single" w:sz="4" w:space="0" w:color="auto"/>
              <w:bottom w:val="nil"/>
              <w:right w:val="single" w:sz="4" w:space="0" w:color="auto"/>
            </w:tcBorders>
            <w:shd w:val="clear" w:color="auto" w:fill="auto"/>
            <w:noWrap/>
            <w:vAlign w:val="bottom"/>
            <w:hideMark/>
          </w:tcPr>
          <w:p w:rsidR="000F131D" w:rsidRPr="000F131D" w:rsidRDefault="000F131D" w:rsidP="000F131D">
            <w:pPr>
              <w:ind w:firstLine="0"/>
              <w:jc w:val="right"/>
              <w:rPr>
                <w:rFonts w:cs="Calibri"/>
                <w:color w:val="000000"/>
                <w:lang w:bidi="ar-SA"/>
              </w:rPr>
            </w:pPr>
            <w:r w:rsidRPr="000F131D">
              <w:rPr>
                <w:rFonts w:cs="Calibri"/>
                <w:color w:val="000000"/>
                <w:lang w:bidi="ar-SA"/>
              </w:rPr>
              <w:t>2</w:t>
            </w:r>
          </w:p>
        </w:tc>
      </w:tr>
      <w:tr w:rsidR="000F131D" w:rsidRPr="000F131D" w:rsidTr="000F131D">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0F131D" w:rsidRPr="000F131D" w:rsidRDefault="000F131D" w:rsidP="000F131D">
            <w:pPr>
              <w:ind w:firstLine="0"/>
              <w:rPr>
                <w:rFonts w:cs="Calibri"/>
                <w:color w:val="000000"/>
                <w:lang w:bidi="ar-SA"/>
              </w:rPr>
            </w:pPr>
            <w:r w:rsidRPr="000F131D">
              <w:rPr>
                <w:rFonts w:cs="Calibri"/>
                <w:color w:val="000000"/>
                <w:lang w:bidi="ar-SA"/>
              </w:rPr>
              <w:t>Master's Degrees</w:t>
            </w:r>
          </w:p>
        </w:tc>
        <w:tc>
          <w:tcPr>
            <w:tcW w:w="1052" w:type="dxa"/>
            <w:tcBorders>
              <w:top w:val="nil"/>
              <w:left w:val="nil"/>
              <w:bottom w:val="nil"/>
              <w:right w:val="nil"/>
            </w:tcBorders>
            <w:shd w:val="clear" w:color="auto" w:fill="auto"/>
            <w:noWrap/>
            <w:vAlign w:val="bottom"/>
            <w:hideMark/>
          </w:tcPr>
          <w:p w:rsidR="000F131D" w:rsidRPr="000F131D" w:rsidRDefault="000F131D" w:rsidP="000F131D">
            <w:pPr>
              <w:ind w:firstLine="0"/>
              <w:jc w:val="right"/>
              <w:rPr>
                <w:rFonts w:cs="Calibri"/>
                <w:color w:val="000000"/>
                <w:lang w:bidi="ar-SA"/>
              </w:rPr>
            </w:pPr>
            <w:r w:rsidRPr="000F131D">
              <w:rPr>
                <w:rFonts w:cs="Calibri"/>
                <w:color w:val="000000"/>
                <w:lang w:bidi="ar-SA"/>
              </w:rPr>
              <w:t>28</w:t>
            </w:r>
          </w:p>
        </w:tc>
        <w:tc>
          <w:tcPr>
            <w:tcW w:w="1249" w:type="dxa"/>
            <w:tcBorders>
              <w:top w:val="nil"/>
              <w:left w:val="nil"/>
              <w:bottom w:val="nil"/>
              <w:right w:val="nil"/>
            </w:tcBorders>
            <w:shd w:val="clear" w:color="auto" w:fill="auto"/>
            <w:noWrap/>
            <w:vAlign w:val="bottom"/>
            <w:hideMark/>
          </w:tcPr>
          <w:p w:rsidR="000F131D" w:rsidRPr="000F131D" w:rsidRDefault="000F131D" w:rsidP="000F131D">
            <w:pPr>
              <w:ind w:firstLine="0"/>
              <w:jc w:val="right"/>
              <w:rPr>
                <w:rFonts w:cs="Calibri"/>
                <w:color w:val="000000"/>
                <w:lang w:bidi="ar-SA"/>
              </w:rPr>
            </w:pPr>
            <w:r w:rsidRPr="000F131D">
              <w:rPr>
                <w:rFonts w:cs="Calibri"/>
                <w:color w:val="000000"/>
                <w:lang w:bidi="ar-SA"/>
              </w:rPr>
              <w:t>15</w:t>
            </w:r>
          </w:p>
        </w:tc>
        <w:tc>
          <w:tcPr>
            <w:tcW w:w="1249" w:type="dxa"/>
            <w:tcBorders>
              <w:top w:val="nil"/>
              <w:left w:val="nil"/>
              <w:bottom w:val="nil"/>
              <w:right w:val="nil"/>
            </w:tcBorders>
            <w:shd w:val="clear" w:color="auto" w:fill="auto"/>
            <w:noWrap/>
            <w:vAlign w:val="bottom"/>
            <w:hideMark/>
          </w:tcPr>
          <w:p w:rsidR="000F131D" w:rsidRPr="000F131D" w:rsidRDefault="000F131D" w:rsidP="000F131D">
            <w:pPr>
              <w:ind w:firstLine="0"/>
              <w:jc w:val="right"/>
              <w:rPr>
                <w:rFonts w:cs="Calibri"/>
                <w:color w:val="000000"/>
                <w:lang w:bidi="ar-SA"/>
              </w:rPr>
            </w:pPr>
            <w:r w:rsidRPr="000F131D">
              <w:rPr>
                <w:rFonts w:cs="Calibri"/>
                <w:color w:val="000000"/>
                <w:lang w:bidi="ar-SA"/>
              </w:rPr>
              <w:t>7</w:t>
            </w:r>
          </w:p>
        </w:tc>
        <w:tc>
          <w:tcPr>
            <w:tcW w:w="930" w:type="dxa"/>
            <w:tcBorders>
              <w:top w:val="nil"/>
              <w:left w:val="nil"/>
              <w:bottom w:val="nil"/>
              <w:right w:val="nil"/>
            </w:tcBorders>
            <w:shd w:val="clear" w:color="auto" w:fill="auto"/>
            <w:noWrap/>
            <w:vAlign w:val="bottom"/>
            <w:hideMark/>
          </w:tcPr>
          <w:p w:rsidR="000F131D" w:rsidRPr="000F131D" w:rsidRDefault="000F131D" w:rsidP="000F131D">
            <w:pPr>
              <w:ind w:firstLine="0"/>
              <w:jc w:val="right"/>
              <w:rPr>
                <w:rFonts w:cs="Calibri"/>
                <w:color w:val="000000"/>
                <w:lang w:bidi="ar-SA"/>
              </w:rPr>
            </w:pPr>
            <w:r w:rsidRPr="000F131D">
              <w:rPr>
                <w:rFonts w:cs="Calibri"/>
                <w:color w:val="000000"/>
                <w:lang w:bidi="ar-SA"/>
              </w:rPr>
              <w:t>4</w:t>
            </w:r>
          </w:p>
        </w:tc>
        <w:tc>
          <w:tcPr>
            <w:tcW w:w="1120" w:type="dxa"/>
            <w:tcBorders>
              <w:top w:val="nil"/>
              <w:left w:val="single" w:sz="4" w:space="0" w:color="auto"/>
              <w:bottom w:val="nil"/>
              <w:right w:val="single" w:sz="4" w:space="0" w:color="auto"/>
            </w:tcBorders>
            <w:shd w:val="clear" w:color="auto" w:fill="auto"/>
            <w:noWrap/>
            <w:vAlign w:val="bottom"/>
            <w:hideMark/>
          </w:tcPr>
          <w:p w:rsidR="000F131D" w:rsidRPr="000F131D" w:rsidRDefault="000F131D" w:rsidP="000F131D">
            <w:pPr>
              <w:ind w:firstLine="0"/>
              <w:jc w:val="right"/>
              <w:rPr>
                <w:rFonts w:cs="Calibri"/>
                <w:color w:val="000000"/>
                <w:lang w:bidi="ar-SA"/>
              </w:rPr>
            </w:pPr>
            <w:r w:rsidRPr="000F131D">
              <w:rPr>
                <w:rFonts w:cs="Calibri"/>
                <w:color w:val="000000"/>
                <w:lang w:bidi="ar-SA"/>
              </w:rPr>
              <w:t>54</w:t>
            </w:r>
          </w:p>
        </w:tc>
      </w:tr>
      <w:tr w:rsidR="000F131D" w:rsidRPr="000F131D" w:rsidTr="000F131D">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0F131D" w:rsidRPr="000F131D" w:rsidRDefault="000F131D" w:rsidP="000F131D">
            <w:pPr>
              <w:ind w:firstLine="0"/>
              <w:rPr>
                <w:rFonts w:cs="Calibri"/>
                <w:color w:val="000000"/>
                <w:lang w:bidi="ar-SA"/>
              </w:rPr>
            </w:pPr>
            <w:r w:rsidRPr="000F131D">
              <w:rPr>
                <w:rFonts w:cs="Calibri"/>
                <w:color w:val="000000"/>
                <w:lang w:bidi="ar-SA"/>
              </w:rPr>
              <w:t>PhD</w:t>
            </w:r>
          </w:p>
        </w:tc>
        <w:tc>
          <w:tcPr>
            <w:tcW w:w="1052" w:type="dxa"/>
            <w:tcBorders>
              <w:top w:val="nil"/>
              <w:left w:val="nil"/>
              <w:bottom w:val="nil"/>
              <w:right w:val="nil"/>
            </w:tcBorders>
            <w:shd w:val="clear" w:color="auto" w:fill="auto"/>
            <w:noWrap/>
            <w:vAlign w:val="bottom"/>
            <w:hideMark/>
          </w:tcPr>
          <w:p w:rsidR="000F131D" w:rsidRPr="000F131D" w:rsidRDefault="000F131D" w:rsidP="000F131D">
            <w:pPr>
              <w:ind w:firstLine="0"/>
              <w:jc w:val="right"/>
              <w:rPr>
                <w:rFonts w:cs="Calibri"/>
                <w:color w:val="000000"/>
                <w:lang w:bidi="ar-SA"/>
              </w:rPr>
            </w:pPr>
            <w:r w:rsidRPr="000F131D">
              <w:rPr>
                <w:rFonts w:cs="Calibri"/>
                <w:color w:val="000000"/>
                <w:lang w:bidi="ar-SA"/>
              </w:rPr>
              <w:t>10</w:t>
            </w:r>
          </w:p>
        </w:tc>
        <w:tc>
          <w:tcPr>
            <w:tcW w:w="1249" w:type="dxa"/>
            <w:tcBorders>
              <w:top w:val="nil"/>
              <w:left w:val="nil"/>
              <w:bottom w:val="nil"/>
              <w:right w:val="nil"/>
            </w:tcBorders>
            <w:shd w:val="clear" w:color="auto" w:fill="auto"/>
            <w:noWrap/>
            <w:vAlign w:val="bottom"/>
            <w:hideMark/>
          </w:tcPr>
          <w:p w:rsidR="000F131D" w:rsidRPr="000F131D" w:rsidRDefault="000F131D" w:rsidP="000F131D">
            <w:pPr>
              <w:ind w:firstLine="0"/>
              <w:jc w:val="right"/>
              <w:rPr>
                <w:rFonts w:cs="Calibri"/>
                <w:color w:val="000000"/>
                <w:lang w:bidi="ar-SA"/>
              </w:rPr>
            </w:pPr>
            <w:r w:rsidRPr="000F131D">
              <w:rPr>
                <w:rFonts w:cs="Calibri"/>
                <w:color w:val="000000"/>
                <w:lang w:bidi="ar-SA"/>
              </w:rPr>
              <w:t>2</w:t>
            </w:r>
          </w:p>
        </w:tc>
        <w:tc>
          <w:tcPr>
            <w:tcW w:w="1249" w:type="dxa"/>
            <w:tcBorders>
              <w:top w:val="nil"/>
              <w:left w:val="nil"/>
              <w:bottom w:val="nil"/>
              <w:right w:val="nil"/>
            </w:tcBorders>
            <w:shd w:val="clear" w:color="auto" w:fill="auto"/>
            <w:noWrap/>
            <w:vAlign w:val="bottom"/>
            <w:hideMark/>
          </w:tcPr>
          <w:p w:rsidR="000F131D" w:rsidRPr="000F131D" w:rsidRDefault="000F131D" w:rsidP="000F131D">
            <w:pPr>
              <w:ind w:firstLine="0"/>
              <w:jc w:val="right"/>
              <w:rPr>
                <w:rFonts w:cs="Calibri"/>
                <w:color w:val="000000"/>
                <w:lang w:bidi="ar-SA"/>
              </w:rPr>
            </w:pPr>
            <w:r w:rsidRPr="000F131D">
              <w:rPr>
                <w:rFonts w:cs="Calibri"/>
                <w:color w:val="000000"/>
                <w:lang w:bidi="ar-SA"/>
              </w:rPr>
              <w:t>1</w:t>
            </w:r>
          </w:p>
        </w:tc>
        <w:tc>
          <w:tcPr>
            <w:tcW w:w="930" w:type="dxa"/>
            <w:tcBorders>
              <w:top w:val="nil"/>
              <w:left w:val="nil"/>
              <w:bottom w:val="nil"/>
              <w:right w:val="nil"/>
            </w:tcBorders>
            <w:shd w:val="clear" w:color="auto" w:fill="auto"/>
            <w:noWrap/>
            <w:vAlign w:val="bottom"/>
            <w:hideMark/>
          </w:tcPr>
          <w:p w:rsidR="000F131D" w:rsidRPr="000F131D" w:rsidRDefault="000F131D" w:rsidP="000F131D">
            <w:pPr>
              <w:ind w:firstLine="0"/>
              <w:jc w:val="right"/>
              <w:rPr>
                <w:rFonts w:cs="Calibri"/>
                <w:color w:val="000000"/>
                <w:lang w:bidi="ar-SA"/>
              </w:rPr>
            </w:pPr>
            <w:r w:rsidRPr="000F131D">
              <w:rPr>
                <w:rFonts w:cs="Calibri"/>
                <w:color w:val="000000"/>
                <w:lang w:bidi="ar-SA"/>
              </w:rPr>
              <w:t>1</w:t>
            </w:r>
          </w:p>
        </w:tc>
        <w:tc>
          <w:tcPr>
            <w:tcW w:w="1120" w:type="dxa"/>
            <w:tcBorders>
              <w:top w:val="nil"/>
              <w:left w:val="single" w:sz="4" w:space="0" w:color="auto"/>
              <w:bottom w:val="nil"/>
              <w:right w:val="single" w:sz="4" w:space="0" w:color="auto"/>
            </w:tcBorders>
            <w:shd w:val="clear" w:color="auto" w:fill="auto"/>
            <w:noWrap/>
            <w:vAlign w:val="bottom"/>
            <w:hideMark/>
          </w:tcPr>
          <w:p w:rsidR="000F131D" w:rsidRPr="000F131D" w:rsidRDefault="000F131D" w:rsidP="000F131D">
            <w:pPr>
              <w:ind w:firstLine="0"/>
              <w:jc w:val="right"/>
              <w:rPr>
                <w:rFonts w:cs="Calibri"/>
                <w:color w:val="000000"/>
                <w:lang w:bidi="ar-SA"/>
              </w:rPr>
            </w:pPr>
            <w:r w:rsidRPr="000F131D">
              <w:rPr>
                <w:rFonts w:cs="Calibri"/>
                <w:color w:val="000000"/>
                <w:lang w:bidi="ar-SA"/>
              </w:rPr>
              <w:t>14</w:t>
            </w:r>
          </w:p>
        </w:tc>
      </w:tr>
      <w:tr w:rsidR="00A25573" w:rsidRPr="00A25573" w:rsidTr="00A25573">
        <w:trPr>
          <w:trHeight w:val="300"/>
        </w:trPr>
        <w:tc>
          <w:tcPr>
            <w:tcW w:w="3020" w:type="dxa"/>
            <w:tcBorders>
              <w:top w:val="single" w:sz="4" w:space="0" w:color="auto"/>
              <w:left w:val="single" w:sz="4" w:space="0" w:color="auto"/>
              <w:bottom w:val="single" w:sz="4" w:space="0" w:color="auto"/>
              <w:right w:val="single" w:sz="4" w:space="0" w:color="auto"/>
            </w:tcBorders>
            <w:shd w:val="clear" w:color="auto" w:fill="1800C8"/>
            <w:noWrap/>
            <w:vAlign w:val="bottom"/>
            <w:hideMark/>
          </w:tcPr>
          <w:p w:rsidR="000F131D" w:rsidRPr="000F131D" w:rsidRDefault="000F131D" w:rsidP="000F131D">
            <w:pPr>
              <w:ind w:firstLine="0"/>
              <w:rPr>
                <w:rFonts w:cs="Calibri"/>
                <w:b/>
                <w:color w:val="FFFFFF" w:themeColor="background1"/>
                <w:lang w:bidi="ar-SA"/>
              </w:rPr>
            </w:pPr>
            <w:r w:rsidRPr="000F131D">
              <w:rPr>
                <w:rFonts w:cs="Calibri"/>
                <w:b/>
                <w:color w:val="FFFFFF" w:themeColor="background1"/>
                <w:lang w:bidi="ar-SA"/>
              </w:rPr>
              <w:t>Total</w:t>
            </w:r>
          </w:p>
        </w:tc>
        <w:tc>
          <w:tcPr>
            <w:tcW w:w="1052" w:type="dxa"/>
            <w:tcBorders>
              <w:top w:val="single" w:sz="4" w:space="0" w:color="auto"/>
              <w:left w:val="nil"/>
              <w:bottom w:val="single" w:sz="4" w:space="0" w:color="auto"/>
              <w:right w:val="nil"/>
            </w:tcBorders>
            <w:shd w:val="clear" w:color="auto" w:fill="1800C8"/>
            <w:noWrap/>
            <w:vAlign w:val="bottom"/>
            <w:hideMark/>
          </w:tcPr>
          <w:p w:rsidR="000F131D" w:rsidRPr="000F131D" w:rsidRDefault="000F131D" w:rsidP="000F131D">
            <w:pPr>
              <w:ind w:firstLine="0"/>
              <w:jc w:val="right"/>
              <w:rPr>
                <w:rFonts w:cs="Calibri"/>
                <w:b/>
                <w:color w:val="FFFFFF" w:themeColor="background1"/>
                <w:lang w:bidi="ar-SA"/>
              </w:rPr>
            </w:pPr>
            <w:r w:rsidRPr="000F131D">
              <w:rPr>
                <w:rFonts w:cs="Calibri"/>
                <w:b/>
                <w:color w:val="FFFFFF" w:themeColor="background1"/>
                <w:lang w:bidi="ar-SA"/>
              </w:rPr>
              <w:t>63</w:t>
            </w:r>
          </w:p>
        </w:tc>
        <w:tc>
          <w:tcPr>
            <w:tcW w:w="1249" w:type="dxa"/>
            <w:tcBorders>
              <w:top w:val="single" w:sz="4" w:space="0" w:color="auto"/>
              <w:left w:val="nil"/>
              <w:bottom w:val="single" w:sz="4" w:space="0" w:color="auto"/>
              <w:right w:val="nil"/>
            </w:tcBorders>
            <w:shd w:val="clear" w:color="auto" w:fill="1800C8"/>
            <w:noWrap/>
            <w:vAlign w:val="bottom"/>
            <w:hideMark/>
          </w:tcPr>
          <w:p w:rsidR="000F131D" w:rsidRPr="000F131D" w:rsidRDefault="000F131D" w:rsidP="000F131D">
            <w:pPr>
              <w:ind w:firstLine="0"/>
              <w:jc w:val="right"/>
              <w:rPr>
                <w:rFonts w:cs="Calibri"/>
                <w:b/>
                <w:color w:val="FFFFFF" w:themeColor="background1"/>
                <w:lang w:bidi="ar-SA"/>
              </w:rPr>
            </w:pPr>
            <w:r w:rsidRPr="000F131D">
              <w:rPr>
                <w:rFonts w:cs="Calibri"/>
                <w:b/>
                <w:color w:val="FFFFFF" w:themeColor="background1"/>
                <w:lang w:bidi="ar-SA"/>
              </w:rPr>
              <w:t>67</w:t>
            </w:r>
          </w:p>
        </w:tc>
        <w:tc>
          <w:tcPr>
            <w:tcW w:w="1249" w:type="dxa"/>
            <w:tcBorders>
              <w:top w:val="single" w:sz="4" w:space="0" w:color="auto"/>
              <w:left w:val="nil"/>
              <w:bottom w:val="single" w:sz="4" w:space="0" w:color="auto"/>
              <w:right w:val="nil"/>
            </w:tcBorders>
            <w:shd w:val="clear" w:color="auto" w:fill="1800C8"/>
            <w:noWrap/>
            <w:vAlign w:val="bottom"/>
            <w:hideMark/>
          </w:tcPr>
          <w:p w:rsidR="000F131D" w:rsidRPr="000F131D" w:rsidRDefault="000F131D" w:rsidP="000F131D">
            <w:pPr>
              <w:ind w:firstLine="0"/>
              <w:jc w:val="right"/>
              <w:rPr>
                <w:rFonts w:cs="Calibri"/>
                <w:b/>
                <w:color w:val="FFFFFF" w:themeColor="background1"/>
                <w:lang w:bidi="ar-SA"/>
              </w:rPr>
            </w:pPr>
            <w:r w:rsidRPr="000F131D">
              <w:rPr>
                <w:rFonts w:cs="Calibri"/>
                <w:b/>
                <w:color w:val="FFFFFF" w:themeColor="background1"/>
                <w:lang w:bidi="ar-SA"/>
              </w:rPr>
              <w:t>51</w:t>
            </w:r>
          </w:p>
        </w:tc>
        <w:tc>
          <w:tcPr>
            <w:tcW w:w="930" w:type="dxa"/>
            <w:tcBorders>
              <w:top w:val="single" w:sz="4" w:space="0" w:color="auto"/>
              <w:left w:val="nil"/>
              <w:bottom w:val="single" w:sz="4" w:space="0" w:color="auto"/>
              <w:right w:val="nil"/>
            </w:tcBorders>
            <w:shd w:val="clear" w:color="auto" w:fill="1800C8"/>
            <w:noWrap/>
            <w:vAlign w:val="bottom"/>
            <w:hideMark/>
          </w:tcPr>
          <w:p w:rsidR="000F131D" w:rsidRPr="000F131D" w:rsidRDefault="000F131D" w:rsidP="000F131D">
            <w:pPr>
              <w:ind w:firstLine="0"/>
              <w:jc w:val="right"/>
              <w:rPr>
                <w:rFonts w:cs="Calibri"/>
                <w:b/>
                <w:color w:val="FFFFFF" w:themeColor="background1"/>
                <w:lang w:bidi="ar-SA"/>
              </w:rPr>
            </w:pPr>
            <w:r w:rsidRPr="000F131D">
              <w:rPr>
                <w:rFonts w:cs="Calibri"/>
                <w:b/>
                <w:color w:val="FFFFFF" w:themeColor="background1"/>
                <w:lang w:bidi="ar-SA"/>
              </w:rPr>
              <w:t>20</w:t>
            </w:r>
          </w:p>
        </w:tc>
        <w:tc>
          <w:tcPr>
            <w:tcW w:w="1120" w:type="dxa"/>
            <w:tcBorders>
              <w:top w:val="single" w:sz="4" w:space="0" w:color="auto"/>
              <w:left w:val="single" w:sz="4" w:space="0" w:color="auto"/>
              <w:bottom w:val="single" w:sz="4" w:space="0" w:color="auto"/>
              <w:right w:val="single" w:sz="4" w:space="0" w:color="auto"/>
            </w:tcBorders>
            <w:shd w:val="clear" w:color="auto" w:fill="1800C8"/>
            <w:noWrap/>
            <w:vAlign w:val="bottom"/>
            <w:hideMark/>
          </w:tcPr>
          <w:p w:rsidR="000F131D" w:rsidRPr="000F131D" w:rsidRDefault="000F131D" w:rsidP="000F131D">
            <w:pPr>
              <w:ind w:firstLine="0"/>
              <w:jc w:val="right"/>
              <w:rPr>
                <w:rFonts w:cs="Calibri"/>
                <w:b/>
                <w:color w:val="FFFFFF" w:themeColor="background1"/>
                <w:lang w:bidi="ar-SA"/>
              </w:rPr>
            </w:pPr>
            <w:r w:rsidRPr="000F131D">
              <w:rPr>
                <w:rFonts w:cs="Calibri"/>
                <w:b/>
                <w:color w:val="FFFFFF" w:themeColor="background1"/>
                <w:lang w:bidi="ar-SA"/>
              </w:rPr>
              <w:t>201</w:t>
            </w:r>
          </w:p>
        </w:tc>
      </w:tr>
    </w:tbl>
    <w:p w:rsidR="0058580E" w:rsidRDefault="0058580E" w:rsidP="0058580E">
      <w:pPr>
        <w:ind w:firstLine="0"/>
        <w:rPr>
          <w:rStyle w:val="IntenseEmphasis"/>
        </w:rPr>
        <w:sectPr w:rsidR="0058580E" w:rsidSect="00E87478">
          <w:footerReference w:type="default" r:id="rId10"/>
          <w:headerReference w:type="first" r:id="rId11"/>
          <w:pgSz w:w="12240" w:h="15840" w:code="1"/>
          <w:pgMar w:top="1094" w:right="1440" w:bottom="1094" w:left="1440" w:header="576" w:footer="720" w:gutter="0"/>
          <w:cols w:space="720"/>
          <w:titlePg/>
          <w:docGrid w:linePitch="360"/>
        </w:sectPr>
      </w:pPr>
    </w:p>
    <w:p w:rsidR="00A763F8" w:rsidRDefault="00A763F8" w:rsidP="000F0D4D">
      <w:pPr>
        <w:rPr>
          <w:rStyle w:val="IntenseEmphasis"/>
        </w:rPr>
      </w:pPr>
    </w:p>
    <w:p w:rsidR="00857B64" w:rsidRDefault="00857B64" w:rsidP="00537BBE">
      <w:pPr>
        <w:rPr>
          <w:rStyle w:val="IntenseEmphasis"/>
        </w:rPr>
      </w:pPr>
    </w:p>
    <w:p w:rsidR="00537BBE" w:rsidRDefault="00537BBE" w:rsidP="00810EAA">
      <w:pPr>
        <w:ind w:firstLine="0"/>
        <w:rPr>
          <w:rStyle w:val="IntenseEmphasis"/>
          <w:i w:val="0"/>
          <w:color w:val="0808E6"/>
        </w:rPr>
      </w:pPr>
      <w:r w:rsidRPr="00134464">
        <w:rPr>
          <w:rStyle w:val="IntenseEmphasis"/>
          <w:i w:val="0"/>
          <w:color w:val="0808E6"/>
        </w:rPr>
        <w:t>Course Enrollment</w:t>
      </w:r>
      <w:r w:rsidR="005C5BA2">
        <w:rPr>
          <w:rStyle w:val="IntenseEmphasis"/>
          <w:i w:val="0"/>
          <w:color w:val="0808E6"/>
        </w:rPr>
        <w:t xml:space="preserve"> </w:t>
      </w:r>
    </w:p>
    <w:p w:rsidR="005C5BA2" w:rsidRDefault="005C5BA2" w:rsidP="00810EAA">
      <w:pPr>
        <w:ind w:firstLine="0"/>
        <w:rPr>
          <w:rStyle w:val="IntenseEmphasis"/>
          <w:i w:val="0"/>
          <w:color w:val="0808E6"/>
        </w:rPr>
      </w:pPr>
    </w:p>
    <w:p w:rsidR="005C5BA2" w:rsidRPr="005C5BA2" w:rsidRDefault="005C5BA2" w:rsidP="00810EAA">
      <w:pPr>
        <w:ind w:firstLine="0"/>
        <w:rPr>
          <w:rStyle w:val="IntenseEmphasis"/>
          <w:rFonts w:ascii="Times New Roman" w:hAnsi="Times New Roman"/>
          <w:b w:val="0"/>
          <w:i w:val="0"/>
          <w:color w:val="auto"/>
        </w:rPr>
      </w:pPr>
      <w:r>
        <w:rPr>
          <w:rStyle w:val="IntenseEmphasis"/>
          <w:rFonts w:ascii="Times New Roman" w:hAnsi="Times New Roman"/>
          <w:b w:val="0"/>
          <w:i w:val="0"/>
          <w:color w:val="auto"/>
        </w:rPr>
        <w:t xml:space="preserve">The percentage of students enrolling in distance courses is increasing.  This trend is mainly due to a large increase in the students taking </w:t>
      </w:r>
      <w:r w:rsidR="00F24291">
        <w:rPr>
          <w:rStyle w:val="IntenseEmphasis"/>
          <w:rFonts w:ascii="Times New Roman" w:hAnsi="Times New Roman"/>
          <w:b w:val="0"/>
          <w:i w:val="0"/>
          <w:color w:val="auto"/>
        </w:rPr>
        <w:t>e-learning</w:t>
      </w:r>
      <w:r>
        <w:rPr>
          <w:rStyle w:val="IntenseEmphasis"/>
          <w:rFonts w:ascii="Times New Roman" w:hAnsi="Times New Roman"/>
          <w:b w:val="0"/>
          <w:i w:val="0"/>
          <w:color w:val="auto"/>
        </w:rPr>
        <w:t xml:space="preserve"> courses.</w:t>
      </w:r>
    </w:p>
    <w:p w:rsidR="0078142F" w:rsidRDefault="0078142F" w:rsidP="00810EAA">
      <w:pPr>
        <w:ind w:firstLine="0"/>
        <w:rPr>
          <w:rStyle w:val="IntenseEmphasis"/>
          <w:i w:val="0"/>
          <w:color w:val="0808E6"/>
        </w:rPr>
      </w:pPr>
    </w:p>
    <w:p w:rsidR="00134464" w:rsidRDefault="00134464" w:rsidP="00810EAA">
      <w:pPr>
        <w:ind w:firstLine="0"/>
        <w:rPr>
          <w:rStyle w:val="IntenseEmphasis"/>
          <w:i w:val="0"/>
          <w:color w:val="0808E6"/>
        </w:rPr>
      </w:pPr>
    </w:p>
    <w:p w:rsidR="00134464" w:rsidRPr="00134464" w:rsidRDefault="0078142F" w:rsidP="00810EAA">
      <w:pPr>
        <w:ind w:firstLine="0"/>
        <w:rPr>
          <w:rStyle w:val="IntenseEmphasis"/>
          <w:i w:val="0"/>
          <w:color w:val="0808E6"/>
        </w:rPr>
      </w:pPr>
      <w:r>
        <w:rPr>
          <w:noProof/>
          <w:lang w:bidi="ar-SA"/>
        </w:rPr>
        <w:drawing>
          <wp:inline distT="0" distB="0" distL="0" distR="0" wp14:anchorId="29A65651" wp14:editId="6D4A3292">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75776" w:rsidRPr="00375776" w:rsidRDefault="00375776" w:rsidP="00810EAA">
      <w:pPr>
        <w:ind w:firstLine="0"/>
        <w:rPr>
          <w:rFonts w:cs="Calibri"/>
          <w:i/>
          <w:iCs/>
          <w:color w:val="000000"/>
          <w:sz w:val="20"/>
          <w:szCs w:val="20"/>
          <w:lang w:bidi="ar-SA"/>
        </w:rPr>
      </w:pPr>
      <w:r w:rsidRPr="00375776">
        <w:rPr>
          <w:rFonts w:cs="Calibri"/>
          <w:i/>
          <w:iCs/>
          <w:color w:val="000000"/>
          <w:sz w:val="20"/>
          <w:szCs w:val="20"/>
          <w:lang w:bidi="ar-SA"/>
        </w:rPr>
        <w:t>Source: UA Information Systems, Banner SI Closing Fall Extracts 2001-2010.</w:t>
      </w:r>
    </w:p>
    <w:p w:rsidR="00537BBE" w:rsidRDefault="00537BBE" w:rsidP="00810EAA">
      <w:pPr>
        <w:ind w:firstLine="0"/>
        <w:rPr>
          <w:rStyle w:val="IntenseEmphasis"/>
        </w:rPr>
      </w:pPr>
    </w:p>
    <w:p w:rsidR="00A66C0A" w:rsidRDefault="00A66C0A" w:rsidP="00810EAA">
      <w:pPr>
        <w:ind w:firstLine="0"/>
        <w:rPr>
          <w:rStyle w:val="IntenseEmphasis"/>
          <w:i w:val="0"/>
          <w:color w:val="0808E6"/>
        </w:rPr>
      </w:pPr>
    </w:p>
    <w:p w:rsidR="00537BBE" w:rsidRPr="005C5BA2" w:rsidRDefault="00537BBE" w:rsidP="00810EAA">
      <w:pPr>
        <w:ind w:firstLine="0"/>
        <w:rPr>
          <w:rStyle w:val="IntenseEmphasis"/>
          <w:i w:val="0"/>
          <w:color w:val="0808E6"/>
        </w:rPr>
      </w:pPr>
      <w:r w:rsidRPr="005C5BA2">
        <w:rPr>
          <w:rStyle w:val="IntenseEmphasis"/>
          <w:i w:val="0"/>
          <w:color w:val="0808E6"/>
        </w:rPr>
        <w:t>Degree</w:t>
      </w:r>
      <w:r w:rsidR="001325DC">
        <w:rPr>
          <w:rStyle w:val="IntenseEmphasis"/>
          <w:i w:val="0"/>
          <w:color w:val="0808E6"/>
        </w:rPr>
        <w:t>s</w:t>
      </w:r>
      <w:r w:rsidRPr="005C5BA2">
        <w:rPr>
          <w:rStyle w:val="IntenseEmphasis"/>
          <w:i w:val="0"/>
          <w:color w:val="0808E6"/>
        </w:rPr>
        <w:t xml:space="preserve"> and Certificates Awarded</w:t>
      </w:r>
    </w:p>
    <w:p w:rsidR="00537BBE" w:rsidRDefault="00537BBE" w:rsidP="00810EAA">
      <w:pPr>
        <w:ind w:firstLine="0"/>
        <w:rPr>
          <w:rStyle w:val="IntenseEmphasis"/>
        </w:rPr>
      </w:pPr>
    </w:p>
    <w:p w:rsidR="006C58A7" w:rsidRPr="005C5BA2" w:rsidRDefault="005C5BA2" w:rsidP="00810EAA">
      <w:pPr>
        <w:ind w:firstLine="0"/>
        <w:rPr>
          <w:rStyle w:val="IntenseEmphasis"/>
          <w:rFonts w:ascii="Times New Roman" w:hAnsi="Times New Roman"/>
          <w:b w:val="0"/>
          <w:i w:val="0"/>
          <w:color w:val="000000" w:themeColor="text1"/>
        </w:rPr>
      </w:pPr>
      <w:r>
        <w:rPr>
          <w:rStyle w:val="IntenseEmphasis"/>
          <w:rFonts w:ascii="Times New Roman" w:hAnsi="Times New Roman"/>
          <w:b w:val="0"/>
          <w:i w:val="0"/>
          <w:color w:val="000000" w:themeColor="text1"/>
        </w:rPr>
        <w:t>UAF can’t currently report the number of degrees and certificates awarded to students attending entirely</w:t>
      </w:r>
      <w:r w:rsidR="00A66C0A">
        <w:rPr>
          <w:rStyle w:val="IntenseEmphasis"/>
          <w:rFonts w:ascii="Times New Roman" w:hAnsi="Times New Roman"/>
          <w:b w:val="0"/>
          <w:i w:val="0"/>
          <w:color w:val="000000" w:themeColor="text1"/>
        </w:rPr>
        <w:t xml:space="preserve"> </w:t>
      </w:r>
      <w:r w:rsidR="00B468BE">
        <w:rPr>
          <w:rStyle w:val="IntenseEmphasis"/>
          <w:rFonts w:ascii="Times New Roman" w:hAnsi="Times New Roman"/>
          <w:b w:val="0"/>
          <w:i w:val="0"/>
          <w:color w:val="000000" w:themeColor="text1"/>
        </w:rPr>
        <w:t xml:space="preserve">or partly </w:t>
      </w:r>
      <w:r w:rsidR="00A66C0A">
        <w:rPr>
          <w:rStyle w:val="IntenseEmphasis"/>
          <w:rFonts w:ascii="Times New Roman" w:hAnsi="Times New Roman"/>
          <w:b w:val="0"/>
          <w:i w:val="0"/>
          <w:color w:val="000000" w:themeColor="text1"/>
        </w:rPr>
        <w:t xml:space="preserve">by distance.  The difficulty is that most of our distance programs are also delivered face-to-face.  So, the method of student degree completion can only be ascertained by looking at the delivery mode of each course taken, student by student.  </w:t>
      </w:r>
      <w:r w:rsidR="00967BBB">
        <w:rPr>
          <w:rStyle w:val="IntenseEmphasis"/>
          <w:rFonts w:ascii="Times New Roman" w:hAnsi="Times New Roman"/>
          <w:b w:val="0"/>
          <w:i w:val="0"/>
          <w:color w:val="000000" w:themeColor="text1"/>
        </w:rPr>
        <w:t xml:space="preserve">Because </w:t>
      </w:r>
      <w:r w:rsidR="00A66C0A">
        <w:rPr>
          <w:rStyle w:val="IntenseEmphasis"/>
          <w:rFonts w:ascii="Times New Roman" w:hAnsi="Times New Roman"/>
          <w:b w:val="0"/>
          <w:i w:val="0"/>
          <w:color w:val="000000" w:themeColor="text1"/>
        </w:rPr>
        <w:t xml:space="preserve">before 2011 courses were not coded consistently in Banner, even that method is unreliable until several </w:t>
      </w:r>
      <w:r w:rsidR="006119B4">
        <w:rPr>
          <w:rStyle w:val="IntenseEmphasis"/>
          <w:rFonts w:ascii="Times New Roman" w:hAnsi="Times New Roman"/>
          <w:b w:val="0"/>
          <w:i w:val="0"/>
          <w:color w:val="000000" w:themeColor="text1"/>
        </w:rPr>
        <w:t xml:space="preserve">more </w:t>
      </w:r>
      <w:r w:rsidR="00A66C0A">
        <w:rPr>
          <w:rStyle w:val="IntenseEmphasis"/>
          <w:rFonts w:ascii="Times New Roman" w:hAnsi="Times New Roman"/>
          <w:b w:val="0"/>
          <w:i w:val="0"/>
          <w:color w:val="000000" w:themeColor="text1"/>
        </w:rPr>
        <w:t>years have passed.</w:t>
      </w:r>
    </w:p>
    <w:p w:rsidR="005C5BA2" w:rsidRPr="005C5BA2" w:rsidRDefault="005C5BA2" w:rsidP="00810EAA">
      <w:pPr>
        <w:ind w:firstLine="0"/>
        <w:rPr>
          <w:rStyle w:val="IntenseEmphasis"/>
          <w:i w:val="0"/>
        </w:rPr>
      </w:pPr>
    </w:p>
    <w:p w:rsidR="00B84835" w:rsidRPr="004E5985" w:rsidRDefault="00B84835" w:rsidP="00810EAA">
      <w:pPr>
        <w:ind w:firstLine="0"/>
        <w:rPr>
          <w:rStyle w:val="IntenseEmphasis"/>
          <w:i w:val="0"/>
          <w:color w:val="0808E6"/>
        </w:rPr>
      </w:pPr>
      <w:r w:rsidRPr="004E5985">
        <w:rPr>
          <w:rStyle w:val="IntenseEmphasis"/>
          <w:i w:val="0"/>
          <w:color w:val="0808E6"/>
        </w:rPr>
        <w:t>Course Completion</w:t>
      </w:r>
    </w:p>
    <w:p w:rsidR="004A404C" w:rsidRPr="00941EA9" w:rsidRDefault="004A404C" w:rsidP="00810EAA">
      <w:pPr>
        <w:ind w:firstLine="0"/>
        <w:rPr>
          <w:rStyle w:val="IntenseEmphasis"/>
          <w:rFonts w:ascii="Times New Roman" w:hAnsi="Times New Roman"/>
          <w:b w:val="0"/>
          <w:i w:val="0"/>
          <w:color w:val="auto"/>
        </w:rPr>
      </w:pPr>
    </w:p>
    <w:p w:rsidR="004E5985" w:rsidRPr="00941EA9" w:rsidRDefault="004E5985" w:rsidP="00810EAA">
      <w:pPr>
        <w:ind w:firstLine="0"/>
        <w:rPr>
          <w:rStyle w:val="IntenseEmphasis"/>
          <w:rFonts w:ascii="Times New Roman" w:hAnsi="Times New Roman"/>
          <w:b w:val="0"/>
          <w:i w:val="0"/>
          <w:color w:val="auto"/>
        </w:rPr>
      </w:pPr>
      <w:r w:rsidRPr="00941EA9">
        <w:rPr>
          <w:rStyle w:val="IntenseEmphasis"/>
          <w:rFonts w:ascii="Times New Roman" w:hAnsi="Times New Roman"/>
          <w:b w:val="0"/>
          <w:i w:val="0"/>
          <w:color w:val="auto"/>
        </w:rPr>
        <w:t xml:space="preserve">In the </w:t>
      </w:r>
      <w:r w:rsidR="004A046A">
        <w:rPr>
          <w:rStyle w:val="IntenseEmphasis"/>
          <w:rFonts w:ascii="Times New Roman" w:hAnsi="Times New Roman"/>
          <w:b w:val="0"/>
          <w:i w:val="0"/>
          <w:color w:val="auto"/>
        </w:rPr>
        <w:t xml:space="preserve">graphs </w:t>
      </w:r>
      <w:r w:rsidRPr="00941EA9">
        <w:rPr>
          <w:rStyle w:val="IntenseEmphasis"/>
          <w:rFonts w:ascii="Times New Roman" w:hAnsi="Times New Roman"/>
          <w:b w:val="0"/>
          <w:i w:val="0"/>
          <w:color w:val="auto"/>
        </w:rPr>
        <w:t>below, g</w:t>
      </w:r>
      <w:r w:rsidR="00967065" w:rsidRPr="00941EA9">
        <w:rPr>
          <w:rStyle w:val="IntenseEmphasis"/>
          <w:rFonts w:ascii="Times New Roman" w:hAnsi="Times New Roman"/>
          <w:b w:val="0"/>
          <w:i w:val="0"/>
          <w:color w:val="auto"/>
        </w:rPr>
        <w:t>rades of D</w:t>
      </w:r>
      <w:r w:rsidRPr="00941EA9">
        <w:rPr>
          <w:rStyle w:val="IntenseEmphasis"/>
          <w:rFonts w:ascii="Times New Roman" w:hAnsi="Times New Roman"/>
          <w:b w:val="0"/>
          <w:i w:val="0"/>
          <w:color w:val="auto"/>
        </w:rPr>
        <w:t>-</w:t>
      </w:r>
      <w:r w:rsidR="001325DC">
        <w:rPr>
          <w:rStyle w:val="IntenseEmphasis"/>
          <w:rFonts w:ascii="Times New Roman" w:hAnsi="Times New Roman"/>
          <w:b w:val="0"/>
          <w:i w:val="0"/>
          <w:color w:val="auto"/>
        </w:rPr>
        <w:t xml:space="preserve"> or higher</w:t>
      </w:r>
      <w:r w:rsidR="00967065" w:rsidRPr="00941EA9">
        <w:rPr>
          <w:rStyle w:val="IntenseEmphasis"/>
          <w:rFonts w:ascii="Times New Roman" w:hAnsi="Times New Roman"/>
          <w:b w:val="0"/>
          <w:i w:val="0"/>
          <w:color w:val="auto"/>
        </w:rPr>
        <w:t xml:space="preserve"> </w:t>
      </w:r>
      <w:r w:rsidR="00A66C0A" w:rsidRPr="00941EA9">
        <w:rPr>
          <w:rStyle w:val="IntenseEmphasis"/>
          <w:rFonts w:ascii="Times New Roman" w:hAnsi="Times New Roman"/>
          <w:b w:val="0"/>
          <w:i w:val="0"/>
          <w:color w:val="auto"/>
        </w:rPr>
        <w:t xml:space="preserve">and </w:t>
      </w:r>
      <w:r w:rsidR="00967065" w:rsidRPr="00941EA9">
        <w:rPr>
          <w:rStyle w:val="IntenseEmphasis"/>
          <w:rFonts w:ascii="Times New Roman" w:hAnsi="Times New Roman"/>
          <w:b w:val="0"/>
          <w:i w:val="0"/>
          <w:color w:val="auto"/>
        </w:rPr>
        <w:t xml:space="preserve">pass </w:t>
      </w:r>
      <w:r w:rsidR="00A66C0A" w:rsidRPr="00941EA9">
        <w:rPr>
          <w:rStyle w:val="IntenseEmphasis"/>
          <w:rFonts w:ascii="Times New Roman" w:hAnsi="Times New Roman"/>
          <w:b w:val="0"/>
          <w:i w:val="0"/>
          <w:color w:val="auto"/>
        </w:rPr>
        <w:t xml:space="preserve">(P) </w:t>
      </w:r>
      <w:r w:rsidR="00967065" w:rsidRPr="00941EA9">
        <w:rPr>
          <w:rStyle w:val="IntenseEmphasis"/>
          <w:rFonts w:ascii="Times New Roman" w:hAnsi="Times New Roman"/>
          <w:b w:val="0"/>
          <w:i w:val="0"/>
          <w:color w:val="auto"/>
        </w:rPr>
        <w:t>grades</w:t>
      </w:r>
      <w:r w:rsidR="0084667D" w:rsidRPr="00941EA9">
        <w:rPr>
          <w:rStyle w:val="IntenseEmphasis"/>
          <w:rFonts w:ascii="Times New Roman" w:hAnsi="Times New Roman"/>
          <w:b w:val="0"/>
          <w:i w:val="0"/>
          <w:color w:val="auto"/>
        </w:rPr>
        <w:t xml:space="preserve"> </w:t>
      </w:r>
      <w:r w:rsidR="00967065" w:rsidRPr="00941EA9">
        <w:rPr>
          <w:rStyle w:val="IntenseEmphasis"/>
          <w:rFonts w:ascii="Times New Roman" w:hAnsi="Times New Roman"/>
          <w:b w:val="0"/>
          <w:i w:val="0"/>
          <w:color w:val="auto"/>
        </w:rPr>
        <w:t>were counted as successful completion. Stasis grades include audits, no basis grades, incompletes, and withdraws; failures</w:t>
      </w:r>
      <w:r w:rsidRPr="00941EA9">
        <w:rPr>
          <w:rStyle w:val="IntenseEmphasis"/>
          <w:rFonts w:ascii="Times New Roman" w:hAnsi="Times New Roman"/>
          <w:b w:val="0"/>
          <w:i w:val="0"/>
          <w:color w:val="auto"/>
        </w:rPr>
        <w:t xml:space="preserve"> are F grades</w:t>
      </w:r>
      <w:r w:rsidR="00967065" w:rsidRPr="00941EA9">
        <w:rPr>
          <w:rStyle w:val="IntenseEmphasis"/>
          <w:rFonts w:ascii="Times New Roman" w:hAnsi="Times New Roman"/>
          <w:b w:val="0"/>
          <w:i w:val="0"/>
          <w:color w:val="auto"/>
        </w:rPr>
        <w:t xml:space="preserve">. </w:t>
      </w:r>
      <w:r w:rsidR="00A66C0A" w:rsidRPr="00941EA9">
        <w:rPr>
          <w:rStyle w:val="IntenseEmphasis"/>
          <w:rFonts w:ascii="Times New Roman" w:hAnsi="Times New Roman"/>
          <w:b w:val="0"/>
          <w:i w:val="0"/>
          <w:color w:val="auto"/>
        </w:rPr>
        <w:t xml:space="preserve">  UAF CDE </w:t>
      </w:r>
      <w:r w:rsidR="004A046A">
        <w:rPr>
          <w:rStyle w:val="IntenseEmphasis"/>
          <w:rFonts w:ascii="Times New Roman" w:hAnsi="Times New Roman"/>
          <w:b w:val="0"/>
          <w:i w:val="0"/>
          <w:color w:val="auto"/>
        </w:rPr>
        <w:t xml:space="preserve">(Center for Distance Education) </w:t>
      </w:r>
      <w:r w:rsidR="00A66C0A" w:rsidRPr="00941EA9">
        <w:rPr>
          <w:rStyle w:val="IntenseEmphasis"/>
          <w:rFonts w:ascii="Times New Roman" w:hAnsi="Times New Roman"/>
          <w:b w:val="0"/>
          <w:i w:val="0"/>
          <w:color w:val="auto"/>
        </w:rPr>
        <w:t>has undertaken a concerted effort to improve student success in the courses that they offer, which accounts for much of the increase in success show</w:t>
      </w:r>
      <w:r w:rsidR="00B2710E" w:rsidRPr="00941EA9">
        <w:rPr>
          <w:rStyle w:val="IntenseEmphasis"/>
          <w:rFonts w:ascii="Times New Roman" w:hAnsi="Times New Roman"/>
          <w:b w:val="0"/>
          <w:i w:val="0"/>
          <w:color w:val="auto"/>
        </w:rPr>
        <w:t xml:space="preserve">n.  </w:t>
      </w:r>
      <w:r w:rsidR="00F24291">
        <w:rPr>
          <w:rStyle w:val="IntenseEmphasis"/>
          <w:rFonts w:ascii="Times New Roman" w:hAnsi="Times New Roman"/>
          <w:b w:val="0"/>
          <w:i w:val="0"/>
          <w:color w:val="auto"/>
        </w:rPr>
        <w:t>E-Learning</w:t>
      </w:r>
      <w:r w:rsidR="00941EA9">
        <w:rPr>
          <w:rStyle w:val="IntenseEmphasis"/>
          <w:rFonts w:ascii="Times New Roman" w:hAnsi="Times New Roman"/>
          <w:b w:val="0"/>
          <w:i w:val="0"/>
          <w:color w:val="auto"/>
        </w:rPr>
        <w:t xml:space="preserve"> and other distance</w:t>
      </w:r>
      <w:r w:rsidR="00B2710E" w:rsidRPr="00941EA9">
        <w:rPr>
          <w:rStyle w:val="IntenseEmphasis"/>
          <w:rFonts w:ascii="Times New Roman" w:hAnsi="Times New Roman"/>
          <w:b w:val="0"/>
          <w:i w:val="0"/>
          <w:color w:val="auto"/>
        </w:rPr>
        <w:t xml:space="preserve"> course failure rates are now nearly as low</w:t>
      </w:r>
      <w:r w:rsidR="004A046A">
        <w:rPr>
          <w:rStyle w:val="IntenseEmphasis"/>
          <w:rFonts w:ascii="Times New Roman" w:hAnsi="Times New Roman"/>
          <w:b w:val="0"/>
          <w:i w:val="0"/>
          <w:color w:val="auto"/>
        </w:rPr>
        <w:t xml:space="preserve"> </w:t>
      </w:r>
      <w:r w:rsidR="00A66C0A" w:rsidRPr="00941EA9">
        <w:rPr>
          <w:rStyle w:val="IntenseEmphasis"/>
          <w:rFonts w:ascii="Times New Roman" w:hAnsi="Times New Roman"/>
          <w:b w:val="0"/>
          <w:i w:val="0"/>
          <w:color w:val="auto"/>
        </w:rPr>
        <w:t xml:space="preserve">as in traditional </w:t>
      </w:r>
      <w:r w:rsidR="00B2710E" w:rsidRPr="00941EA9">
        <w:rPr>
          <w:rStyle w:val="IntenseEmphasis"/>
          <w:rFonts w:ascii="Times New Roman" w:hAnsi="Times New Roman"/>
          <w:b w:val="0"/>
          <w:i w:val="0"/>
          <w:color w:val="auto"/>
        </w:rPr>
        <w:t>face-to-face courses, although stasis rates remain higher in distance courses.</w:t>
      </w:r>
    </w:p>
    <w:p w:rsidR="004E5985" w:rsidRDefault="004E5985" w:rsidP="00810EAA">
      <w:pPr>
        <w:ind w:firstLine="0"/>
        <w:rPr>
          <w:rStyle w:val="IntenseEmphasis"/>
          <w:b w:val="0"/>
          <w:i w:val="0"/>
          <w:color w:val="auto"/>
        </w:rPr>
      </w:pPr>
    </w:p>
    <w:p w:rsidR="00A66C0A" w:rsidRDefault="00A66C0A" w:rsidP="004E5985">
      <w:pPr>
        <w:rPr>
          <w:rStyle w:val="IntenseEmphasis"/>
          <w:b w:val="0"/>
          <w:i w:val="0"/>
          <w:color w:val="auto"/>
        </w:rPr>
      </w:pPr>
      <w:r>
        <w:rPr>
          <w:noProof/>
          <w:lang w:bidi="ar-SA"/>
        </w:rPr>
        <w:drawing>
          <wp:inline distT="0" distB="0" distL="0" distR="0" wp14:anchorId="770655B5" wp14:editId="77BF9844">
            <wp:extent cx="4373592" cy="2544792"/>
            <wp:effectExtent l="0" t="0" r="27305" b="273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710E" w:rsidRDefault="00B2710E" w:rsidP="004E5985">
      <w:pPr>
        <w:rPr>
          <w:rStyle w:val="IntenseEmphasis"/>
          <w:b w:val="0"/>
          <w:i w:val="0"/>
          <w:color w:val="auto"/>
        </w:rPr>
      </w:pPr>
    </w:p>
    <w:p w:rsidR="00B2710E" w:rsidRDefault="00B2710E" w:rsidP="004E5985">
      <w:pPr>
        <w:rPr>
          <w:rStyle w:val="IntenseEmphasis"/>
          <w:b w:val="0"/>
          <w:i w:val="0"/>
          <w:color w:val="auto"/>
        </w:rPr>
      </w:pPr>
      <w:r>
        <w:rPr>
          <w:noProof/>
          <w:lang w:bidi="ar-SA"/>
        </w:rPr>
        <w:drawing>
          <wp:inline distT="0" distB="0" distL="0" distR="0" wp14:anchorId="5E6B19F5" wp14:editId="3405AB07">
            <wp:extent cx="4373592" cy="2527540"/>
            <wp:effectExtent l="0" t="0" r="27305"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2710E" w:rsidRDefault="00B2710E" w:rsidP="004E5985">
      <w:pPr>
        <w:rPr>
          <w:rStyle w:val="IntenseEmphasis"/>
          <w:b w:val="0"/>
          <w:i w:val="0"/>
          <w:color w:val="auto"/>
        </w:rPr>
      </w:pPr>
    </w:p>
    <w:p w:rsidR="004E5985" w:rsidRDefault="00B2710E" w:rsidP="004E5985">
      <w:pPr>
        <w:rPr>
          <w:rStyle w:val="IntenseEmphasis"/>
          <w:b w:val="0"/>
          <w:i w:val="0"/>
          <w:color w:val="auto"/>
        </w:rPr>
      </w:pPr>
      <w:r>
        <w:rPr>
          <w:noProof/>
          <w:lang w:bidi="ar-SA"/>
        </w:rPr>
        <w:drawing>
          <wp:inline distT="0" distB="0" distL="0" distR="0" wp14:anchorId="28D8E168" wp14:editId="3BF12617">
            <wp:extent cx="4373592" cy="2441276"/>
            <wp:effectExtent l="0" t="0" r="27305" b="165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75776" w:rsidRPr="00375776" w:rsidRDefault="00375776" w:rsidP="00375776">
      <w:pPr>
        <w:ind w:firstLine="0"/>
        <w:rPr>
          <w:rFonts w:cs="Calibri"/>
          <w:i/>
          <w:color w:val="000000"/>
          <w:lang w:bidi="ar-SA"/>
        </w:rPr>
      </w:pPr>
      <w:r>
        <w:rPr>
          <w:rFonts w:cs="Calibri"/>
          <w:color w:val="000000"/>
          <w:lang w:bidi="ar-SA"/>
        </w:rPr>
        <w:tab/>
      </w:r>
      <w:r w:rsidRPr="00375776">
        <w:rPr>
          <w:rFonts w:cs="Calibri"/>
          <w:i/>
          <w:color w:val="000000"/>
          <w:lang w:bidi="ar-SA"/>
        </w:rPr>
        <w:t>Source: UA Information Systems Banner SI, Closing and Live Extracts</w:t>
      </w:r>
    </w:p>
    <w:p w:rsidR="00537BBE" w:rsidRPr="004E5985" w:rsidRDefault="00DC420C" w:rsidP="006119B4">
      <w:pPr>
        <w:ind w:firstLine="0"/>
        <w:rPr>
          <w:rStyle w:val="IntenseEmphasis"/>
          <w:i w:val="0"/>
          <w:color w:val="0808E6"/>
        </w:rPr>
      </w:pPr>
      <w:r w:rsidRPr="004E5985">
        <w:rPr>
          <w:rStyle w:val="IntenseEmphasis"/>
          <w:i w:val="0"/>
          <w:color w:val="0808E6"/>
        </w:rPr>
        <w:t>Cooperation and Coordination with Other MAUs</w:t>
      </w:r>
    </w:p>
    <w:p w:rsidR="00B053EC" w:rsidRDefault="00B053EC" w:rsidP="00537BBE">
      <w:pPr>
        <w:rPr>
          <w:rStyle w:val="IntenseEmphasis"/>
          <w:b w:val="0"/>
          <w:i w:val="0"/>
          <w:color w:val="auto"/>
        </w:rPr>
      </w:pPr>
    </w:p>
    <w:p w:rsidR="007053AB" w:rsidRPr="001E027B" w:rsidRDefault="005C5BA2" w:rsidP="007053AB">
      <w:pPr>
        <w:rPr>
          <w:rFonts w:ascii="Times New Roman" w:hAnsi="Times New Roman"/>
        </w:rPr>
      </w:pPr>
      <w:r w:rsidRPr="001E027B">
        <w:rPr>
          <w:rStyle w:val="IntenseEmphasis"/>
          <w:rFonts w:ascii="Times New Roman" w:hAnsi="Times New Roman"/>
          <w:b w:val="0"/>
          <w:i w:val="0"/>
          <w:color w:val="auto"/>
        </w:rPr>
        <w:t>All</w:t>
      </w:r>
      <w:r w:rsidR="004E5985" w:rsidRPr="001E027B">
        <w:rPr>
          <w:rStyle w:val="IntenseEmphasis"/>
          <w:rFonts w:ascii="Times New Roman" w:hAnsi="Times New Roman"/>
          <w:b w:val="0"/>
          <w:i w:val="0"/>
          <w:color w:val="auto"/>
        </w:rPr>
        <w:t xml:space="preserve"> academically qualified</w:t>
      </w:r>
      <w:r w:rsidRPr="001E027B">
        <w:rPr>
          <w:rStyle w:val="IntenseEmphasis"/>
          <w:rFonts w:ascii="Times New Roman" w:hAnsi="Times New Roman"/>
          <w:b w:val="0"/>
          <w:i w:val="0"/>
          <w:color w:val="auto"/>
        </w:rPr>
        <w:t xml:space="preserve"> UA students are welcome to enroll in </w:t>
      </w:r>
      <w:r w:rsidR="00110953">
        <w:rPr>
          <w:rStyle w:val="IntenseEmphasis"/>
          <w:rFonts w:ascii="Times New Roman" w:hAnsi="Times New Roman"/>
          <w:b w:val="0"/>
          <w:i w:val="0"/>
          <w:color w:val="auto"/>
        </w:rPr>
        <w:t xml:space="preserve">most </w:t>
      </w:r>
      <w:r w:rsidRPr="001E027B">
        <w:rPr>
          <w:rStyle w:val="IntenseEmphasis"/>
          <w:rFonts w:ascii="Times New Roman" w:hAnsi="Times New Roman"/>
          <w:b w:val="0"/>
          <w:i w:val="0"/>
          <w:color w:val="auto"/>
        </w:rPr>
        <w:t xml:space="preserve">UAF Center for Distance Education courses on a first-come, first-served basis.  </w:t>
      </w:r>
      <w:r w:rsidR="004E5985" w:rsidRPr="001E027B">
        <w:rPr>
          <w:rStyle w:val="IntenseEmphasis"/>
          <w:rFonts w:ascii="Times New Roman" w:hAnsi="Times New Roman"/>
          <w:b w:val="0"/>
          <w:i w:val="0"/>
          <w:color w:val="auto"/>
        </w:rPr>
        <w:t xml:space="preserve">Preference for enrollment in some rural campus </w:t>
      </w:r>
      <w:r w:rsidR="00B2710E" w:rsidRPr="001E027B">
        <w:rPr>
          <w:rStyle w:val="IntenseEmphasis"/>
          <w:rFonts w:ascii="Times New Roman" w:hAnsi="Times New Roman"/>
          <w:b w:val="0"/>
          <w:i w:val="0"/>
          <w:color w:val="auto"/>
        </w:rPr>
        <w:t xml:space="preserve">distance </w:t>
      </w:r>
      <w:r w:rsidR="004E5985" w:rsidRPr="001E027B">
        <w:rPr>
          <w:rStyle w:val="IntenseEmphasis"/>
          <w:rFonts w:ascii="Times New Roman" w:hAnsi="Times New Roman"/>
          <w:b w:val="0"/>
          <w:i w:val="0"/>
          <w:color w:val="auto"/>
        </w:rPr>
        <w:t>courses is given to students served by that rural campus.  Some units (particularly those offering graduate or post-baccalaureate programs) restrict courses to only the students who have been admitted to a given academic degree or certificate program.</w:t>
      </w:r>
    </w:p>
    <w:p w:rsidR="007053AB" w:rsidRPr="00B2710E" w:rsidRDefault="007053AB" w:rsidP="00537BBE">
      <w:pPr>
        <w:rPr>
          <w:rStyle w:val="IntenseEmphasis"/>
          <w:i w:val="0"/>
          <w:color w:val="0808E6"/>
        </w:rPr>
      </w:pPr>
    </w:p>
    <w:p w:rsidR="001325DC" w:rsidRDefault="001325DC" w:rsidP="006119B4">
      <w:pPr>
        <w:ind w:firstLine="0"/>
        <w:rPr>
          <w:rStyle w:val="IntenseEmphasis"/>
          <w:i w:val="0"/>
          <w:color w:val="0808E6"/>
        </w:rPr>
      </w:pPr>
    </w:p>
    <w:p w:rsidR="00B053EC" w:rsidRPr="00B2710E" w:rsidRDefault="00B053EC" w:rsidP="006119B4">
      <w:pPr>
        <w:ind w:firstLine="0"/>
        <w:rPr>
          <w:rStyle w:val="IntenseEmphasis"/>
          <w:i w:val="0"/>
          <w:color w:val="0808E6"/>
        </w:rPr>
      </w:pPr>
      <w:r w:rsidRPr="00B2710E">
        <w:rPr>
          <w:rStyle w:val="IntenseEmphasis"/>
          <w:i w:val="0"/>
          <w:color w:val="0808E6"/>
        </w:rPr>
        <w:t>Quality and Assessment</w:t>
      </w:r>
    </w:p>
    <w:p w:rsidR="00797524" w:rsidRDefault="00797524" w:rsidP="00797524"/>
    <w:p w:rsidR="00797524" w:rsidRPr="001E027B" w:rsidRDefault="00B2710E" w:rsidP="00797524">
      <w:pPr>
        <w:rPr>
          <w:rFonts w:ascii="Times New Roman" w:hAnsi="Times New Roman"/>
        </w:rPr>
      </w:pPr>
      <w:r w:rsidRPr="001E027B">
        <w:rPr>
          <w:rFonts w:ascii="Times New Roman" w:hAnsi="Times New Roman"/>
        </w:rPr>
        <w:t xml:space="preserve">Student learning outcomes assessment is required and being implemented for all degree and certificate programs.  The intended learning outcomes must be attained for students, no matter where or how UAF delivers the program.  Academic departments are responsible for reviewing learning assessment information annually, and a comprehensive review of learning outcomes assessment by all programs was recently completed.  </w:t>
      </w:r>
    </w:p>
    <w:p w:rsidR="00B2710E" w:rsidRDefault="00B2710E" w:rsidP="00797524"/>
    <w:p w:rsidR="001325DC" w:rsidRDefault="001325DC" w:rsidP="006119B4">
      <w:pPr>
        <w:ind w:firstLine="0"/>
        <w:rPr>
          <w:b/>
          <w:color w:val="0808E6"/>
        </w:rPr>
      </w:pPr>
    </w:p>
    <w:p w:rsidR="00B2710E" w:rsidRDefault="00B2710E" w:rsidP="006119B4">
      <w:pPr>
        <w:ind w:firstLine="0"/>
        <w:rPr>
          <w:b/>
          <w:color w:val="0808E6"/>
        </w:rPr>
      </w:pPr>
      <w:r w:rsidRPr="00B2710E">
        <w:rPr>
          <w:b/>
          <w:color w:val="0808E6"/>
        </w:rPr>
        <w:t>Increasing e-Learning Opportunities: Recent Examples</w:t>
      </w:r>
    </w:p>
    <w:p w:rsidR="00967BBB" w:rsidRDefault="00967BBB" w:rsidP="006119B4">
      <w:pPr>
        <w:ind w:firstLine="0"/>
        <w:rPr>
          <w:b/>
          <w:color w:val="0808E6"/>
        </w:rPr>
      </w:pPr>
    </w:p>
    <w:p w:rsidR="00967BBB" w:rsidRDefault="00967BBB" w:rsidP="006119B4">
      <w:pPr>
        <w:ind w:firstLine="0"/>
        <w:rPr>
          <w:i/>
          <w:color w:val="0808E6"/>
        </w:rPr>
      </w:pPr>
      <w:r>
        <w:rPr>
          <w:i/>
          <w:color w:val="0808E6"/>
        </w:rPr>
        <w:t>Bachelor of Emergency Management</w:t>
      </w:r>
    </w:p>
    <w:p w:rsidR="00967BBB" w:rsidRPr="00967BBB" w:rsidRDefault="00967BBB" w:rsidP="00797524">
      <w:pPr>
        <w:rPr>
          <w:i/>
          <w:color w:val="000000" w:themeColor="text1"/>
        </w:rPr>
      </w:pPr>
    </w:p>
    <w:p w:rsidR="001E027B" w:rsidRDefault="00E243EE" w:rsidP="00797524">
      <w:pPr>
        <w:rPr>
          <w:rFonts w:ascii="Times New Roman" w:hAnsi="Times New Roman"/>
          <w:color w:val="000000" w:themeColor="text1"/>
        </w:rPr>
      </w:pPr>
      <w:r>
        <w:rPr>
          <w:rFonts w:ascii="Times New Roman" w:hAnsi="Times New Roman"/>
          <w:color w:val="000000" w:themeColor="text1"/>
        </w:rPr>
        <w:t xml:space="preserve">The BEM program develops skills needed to lead and manage individuals and organizations in emergency management and homeland security.  It builds upon student’s technical capabilities derived from education (such as AAS degrees in Paramedicine or Fire Science), other training, and experience in firefighting, law enforcement, the military, and other areas.  Many of the students continue employment while pursuing this degree, and while some of the courses can be taken in traditional format, </w:t>
      </w:r>
      <w:r w:rsidR="001E027B">
        <w:rPr>
          <w:rFonts w:ascii="Times New Roman" w:hAnsi="Times New Roman"/>
          <w:color w:val="000000" w:themeColor="text1"/>
        </w:rPr>
        <w:t xml:space="preserve">nearly </w:t>
      </w:r>
      <w:r>
        <w:rPr>
          <w:rFonts w:ascii="Times New Roman" w:hAnsi="Times New Roman"/>
          <w:color w:val="000000" w:themeColor="text1"/>
        </w:rPr>
        <w:t>all are available online.  As the program has become available via e-learning over the past several years, enrollment has grown rapidly.</w:t>
      </w:r>
    </w:p>
    <w:p w:rsidR="0087429D" w:rsidRDefault="0087429D" w:rsidP="00797524">
      <w:pPr>
        <w:rPr>
          <w:rFonts w:ascii="Times New Roman" w:hAnsi="Times New Roman"/>
          <w:color w:val="000000" w:themeColor="text1"/>
        </w:rPr>
      </w:pPr>
    </w:p>
    <w:p w:rsidR="0087429D" w:rsidRDefault="008F0197" w:rsidP="00797524">
      <w:pPr>
        <w:rPr>
          <w:rFonts w:ascii="Times New Roman" w:hAnsi="Times New Roman"/>
          <w:color w:val="000000" w:themeColor="text1"/>
        </w:rPr>
      </w:pPr>
      <w:r>
        <w:rPr>
          <w:noProof/>
          <w:lang w:bidi="ar-SA"/>
        </w:rPr>
        <w:drawing>
          <wp:inline distT="0" distB="0" distL="0" distR="0" wp14:anchorId="04527018" wp14:editId="2F1EBFE7">
            <wp:extent cx="4399472" cy="2777706"/>
            <wp:effectExtent l="0" t="0" r="20320" b="2286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F0197" w:rsidRDefault="008F0197" w:rsidP="008F0197">
      <w:pPr>
        <w:ind w:firstLine="0"/>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rPr>
        <w:tab/>
        <w:t xml:space="preserve">Source: UAF Planning and Institutional Research Factbook, </w:t>
      </w:r>
    </w:p>
    <w:p w:rsidR="008F0197" w:rsidRDefault="008F0197" w:rsidP="008F0197">
      <w:pPr>
        <w:ind w:firstLine="0"/>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rPr>
        <w:tab/>
      </w:r>
      <w:hyperlink r:id="rId17" w:history="1">
        <w:r w:rsidRPr="00427D01">
          <w:rPr>
            <w:rStyle w:val="Hyperlink"/>
            <w:rFonts w:asciiTheme="minorHAnsi" w:hAnsiTheme="minorHAnsi" w:cstheme="minorHAnsi"/>
            <w:i/>
            <w:sz w:val="20"/>
            <w:szCs w:val="20"/>
          </w:rPr>
          <w:t>http://www.uaf.edu/pair/uaf-factbook</w:t>
        </w:r>
      </w:hyperlink>
      <w:r>
        <w:rPr>
          <w:rFonts w:asciiTheme="minorHAnsi" w:hAnsiTheme="minorHAnsi" w:cstheme="minorHAnsi"/>
          <w:i/>
          <w:color w:val="000000" w:themeColor="text1"/>
          <w:sz w:val="20"/>
          <w:szCs w:val="20"/>
        </w:rPr>
        <w:t>.  Fall 2011 data are fall opening figures, earlier</w:t>
      </w:r>
    </w:p>
    <w:p w:rsidR="008F0197" w:rsidRPr="008F0197" w:rsidRDefault="008F0197" w:rsidP="008F0197">
      <w:pPr>
        <w:ind w:firstLine="0"/>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rPr>
        <w:tab/>
        <w:t>years’ data</w:t>
      </w:r>
      <w:r w:rsidR="00110953">
        <w:rPr>
          <w:rFonts w:asciiTheme="minorHAnsi" w:hAnsiTheme="minorHAnsi" w:cstheme="minorHAnsi"/>
          <w:i/>
          <w:color w:val="000000" w:themeColor="text1"/>
          <w:sz w:val="20"/>
          <w:szCs w:val="20"/>
        </w:rPr>
        <w:t xml:space="preserve"> are fall closing</w:t>
      </w:r>
      <w:r>
        <w:rPr>
          <w:rFonts w:asciiTheme="minorHAnsi" w:hAnsiTheme="minorHAnsi" w:cstheme="minorHAnsi"/>
          <w:i/>
          <w:color w:val="000000" w:themeColor="text1"/>
          <w:sz w:val="20"/>
          <w:szCs w:val="20"/>
        </w:rPr>
        <w:t xml:space="preserve"> headcount.</w:t>
      </w:r>
    </w:p>
    <w:p w:rsidR="00052A66" w:rsidRDefault="00C3768C" w:rsidP="006119B4">
      <w:pPr>
        <w:ind w:firstLine="0"/>
        <w:rPr>
          <w:rFonts w:asciiTheme="minorHAnsi" w:hAnsiTheme="minorHAnsi" w:cstheme="minorHAnsi"/>
          <w:i/>
          <w:color w:val="0808E6"/>
        </w:rPr>
      </w:pPr>
      <w:r w:rsidRPr="00C3768C">
        <w:rPr>
          <w:rFonts w:asciiTheme="minorHAnsi" w:hAnsiTheme="minorHAnsi" w:cstheme="minorHAnsi"/>
          <w:i/>
          <w:color w:val="0808E6"/>
        </w:rPr>
        <w:t>AAS in Applied Business</w:t>
      </w:r>
    </w:p>
    <w:p w:rsidR="00C3768C" w:rsidRDefault="00C3768C" w:rsidP="00797524">
      <w:pPr>
        <w:rPr>
          <w:rFonts w:asciiTheme="minorHAnsi" w:hAnsiTheme="minorHAnsi" w:cstheme="minorHAnsi"/>
          <w:i/>
          <w:color w:val="0808E6"/>
        </w:rPr>
      </w:pPr>
    </w:p>
    <w:p w:rsidR="00C3768C" w:rsidRDefault="00C3768C" w:rsidP="00797524">
      <w:pPr>
        <w:rPr>
          <w:rFonts w:ascii="Times New Roman" w:hAnsi="Times New Roman"/>
          <w:color w:val="000000" w:themeColor="text1"/>
        </w:rPr>
      </w:pPr>
      <w:r>
        <w:rPr>
          <w:rFonts w:ascii="Times New Roman" w:hAnsi="Times New Roman"/>
          <w:color w:val="000000" w:themeColor="text1"/>
        </w:rPr>
        <w:t xml:space="preserve"> UAF has long offered an AAS in Applied Business, but from 2000-2006 enrollments were flat.  The faculty began offering more of the requirements via distance (as well as continuing with traditional format courses), and now the program is </w:t>
      </w:r>
      <w:r w:rsidR="00A73577">
        <w:rPr>
          <w:rFonts w:ascii="Times New Roman" w:hAnsi="Times New Roman"/>
          <w:color w:val="000000" w:themeColor="text1"/>
        </w:rPr>
        <w:t>entirely</w:t>
      </w:r>
      <w:r>
        <w:rPr>
          <w:rFonts w:ascii="Times New Roman" w:hAnsi="Times New Roman"/>
          <w:color w:val="000000" w:themeColor="text1"/>
        </w:rPr>
        <w:t xml:space="preserve"> available via e-learning.  Enroll</w:t>
      </w:r>
      <w:r w:rsidR="00110953">
        <w:rPr>
          <w:rFonts w:ascii="Times New Roman" w:hAnsi="Times New Roman"/>
          <w:color w:val="000000" w:themeColor="text1"/>
        </w:rPr>
        <w:t>ments have increased more than 7</w:t>
      </w:r>
      <w:r>
        <w:rPr>
          <w:rFonts w:ascii="Times New Roman" w:hAnsi="Times New Roman"/>
          <w:color w:val="000000" w:themeColor="text1"/>
        </w:rPr>
        <w:t>0%.</w:t>
      </w:r>
    </w:p>
    <w:p w:rsidR="009C1E04" w:rsidRPr="00C3768C" w:rsidRDefault="009C1E04" w:rsidP="00797524">
      <w:pPr>
        <w:rPr>
          <w:rFonts w:ascii="Times New Roman" w:hAnsi="Times New Roman"/>
          <w:color w:val="000000" w:themeColor="text1"/>
        </w:rPr>
      </w:pPr>
    </w:p>
    <w:p w:rsidR="00C3768C" w:rsidRPr="00C3768C" w:rsidRDefault="008F0197" w:rsidP="00797524">
      <w:pPr>
        <w:rPr>
          <w:rFonts w:asciiTheme="minorHAnsi" w:hAnsiTheme="minorHAnsi" w:cstheme="minorHAnsi"/>
          <w:i/>
          <w:color w:val="0808E6"/>
        </w:rPr>
      </w:pPr>
      <w:r>
        <w:rPr>
          <w:noProof/>
          <w:lang w:bidi="ar-SA"/>
        </w:rPr>
        <w:drawing>
          <wp:inline distT="0" distB="0" distL="0" distR="0" wp14:anchorId="3F2EAD5E" wp14:editId="19C2CD57">
            <wp:extent cx="4313208" cy="2501660"/>
            <wp:effectExtent l="0" t="0" r="11430" b="1333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lang w:bidi="ar-SA"/>
        </w:rPr>
        <w:t xml:space="preserve"> </w:t>
      </w:r>
    </w:p>
    <w:p w:rsidR="001E027B" w:rsidRDefault="009C1E04" w:rsidP="006119B4">
      <w:pPr>
        <w:ind w:firstLine="0"/>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rPr>
        <w:t xml:space="preserve">         </w:t>
      </w:r>
      <w:r w:rsidR="001E027B">
        <w:rPr>
          <w:rFonts w:asciiTheme="minorHAnsi" w:hAnsiTheme="minorHAnsi" w:cstheme="minorHAnsi"/>
          <w:i/>
          <w:color w:val="000000" w:themeColor="text1"/>
          <w:sz w:val="20"/>
          <w:szCs w:val="20"/>
        </w:rPr>
        <w:tab/>
      </w:r>
      <w:r>
        <w:rPr>
          <w:rFonts w:asciiTheme="minorHAnsi" w:hAnsiTheme="minorHAnsi" w:cstheme="minorHAnsi"/>
          <w:i/>
          <w:color w:val="000000" w:themeColor="text1"/>
          <w:sz w:val="20"/>
          <w:szCs w:val="20"/>
        </w:rPr>
        <w:t xml:space="preserve">Source: UAF Planning and Institutional Research Factbook, </w:t>
      </w:r>
    </w:p>
    <w:p w:rsidR="008F0197" w:rsidRDefault="001E027B" w:rsidP="006119B4">
      <w:pPr>
        <w:ind w:firstLine="0"/>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rPr>
        <w:tab/>
      </w:r>
      <w:hyperlink r:id="rId19" w:history="1">
        <w:r w:rsidR="008F0197" w:rsidRPr="00427D01">
          <w:rPr>
            <w:rStyle w:val="Hyperlink"/>
            <w:rFonts w:asciiTheme="minorHAnsi" w:hAnsiTheme="minorHAnsi" w:cstheme="minorHAnsi"/>
            <w:i/>
            <w:sz w:val="20"/>
            <w:szCs w:val="20"/>
          </w:rPr>
          <w:t>http://www.uaf.edu/pair/uaf-factbook</w:t>
        </w:r>
      </w:hyperlink>
      <w:r w:rsidR="008F0197">
        <w:rPr>
          <w:rFonts w:asciiTheme="minorHAnsi" w:hAnsiTheme="minorHAnsi" w:cstheme="minorHAnsi"/>
          <w:i/>
          <w:color w:val="000000" w:themeColor="text1"/>
          <w:sz w:val="20"/>
          <w:szCs w:val="20"/>
        </w:rPr>
        <w:t>.  Fall 2011 data are fall opening figures, earlier</w:t>
      </w:r>
    </w:p>
    <w:p w:rsidR="008F0197" w:rsidRPr="008F0197" w:rsidRDefault="008F0197" w:rsidP="006119B4">
      <w:pPr>
        <w:ind w:firstLine="0"/>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rPr>
        <w:tab/>
        <w:t>years’ data are fall clos</w:t>
      </w:r>
      <w:r w:rsidR="00110953">
        <w:rPr>
          <w:rFonts w:asciiTheme="minorHAnsi" w:hAnsiTheme="minorHAnsi" w:cstheme="minorHAnsi"/>
          <w:i/>
          <w:color w:val="000000" w:themeColor="text1"/>
          <w:sz w:val="20"/>
          <w:szCs w:val="20"/>
        </w:rPr>
        <w:t>ing</w:t>
      </w:r>
      <w:r>
        <w:rPr>
          <w:rFonts w:asciiTheme="minorHAnsi" w:hAnsiTheme="minorHAnsi" w:cstheme="minorHAnsi"/>
          <w:i/>
          <w:color w:val="000000" w:themeColor="text1"/>
          <w:sz w:val="20"/>
          <w:szCs w:val="20"/>
        </w:rPr>
        <w:t xml:space="preserve"> headcount.</w:t>
      </w:r>
    </w:p>
    <w:p w:rsidR="009C1E04" w:rsidRDefault="009C1E04" w:rsidP="006119B4">
      <w:pPr>
        <w:ind w:firstLine="0"/>
        <w:rPr>
          <w:rFonts w:asciiTheme="minorHAnsi" w:hAnsiTheme="minorHAnsi" w:cstheme="minorHAnsi"/>
          <w:i/>
          <w:color w:val="0808E6"/>
        </w:rPr>
      </w:pPr>
    </w:p>
    <w:p w:rsidR="009C1E04" w:rsidRDefault="009C1E04" w:rsidP="006119B4">
      <w:pPr>
        <w:ind w:firstLine="0"/>
        <w:rPr>
          <w:rFonts w:asciiTheme="minorHAnsi" w:hAnsiTheme="minorHAnsi" w:cstheme="minorHAnsi"/>
          <w:i/>
          <w:color w:val="0808E6"/>
        </w:rPr>
      </w:pPr>
    </w:p>
    <w:p w:rsidR="00052A66" w:rsidRDefault="00052A66" w:rsidP="006119B4">
      <w:pPr>
        <w:ind w:firstLine="0"/>
        <w:rPr>
          <w:rFonts w:asciiTheme="minorHAnsi" w:hAnsiTheme="minorHAnsi" w:cstheme="minorHAnsi"/>
          <w:i/>
          <w:color w:val="0808E6"/>
        </w:rPr>
      </w:pPr>
      <w:r w:rsidRPr="00052A66">
        <w:rPr>
          <w:rFonts w:asciiTheme="minorHAnsi" w:hAnsiTheme="minorHAnsi" w:cstheme="minorHAnsi"/>
          <w:i/>
          <w:color w:val="0808E6"/>
        </w:rPr>
        <w:t xml:space="preserve">M.Ed. </w:t>
      </w:r>
      <w:r w:rsidR="00816292">
        <w:rPr>
          <w:rFonts w:asciiTheme="minorHAnsi" w:hAnsiTheme="minorHAnsi" w:cstheme="minorHAnsi"/>
          <w:i/>
          <w:color w:val="0808E6"/>
        </w:rPr>
        <w:t xml:space="preserve">Concentration </w:t>
      </w:r>
      <w:r w:rsidRPr="00052A66">
        <w:rPr>
          <w:rFonts w:asciiTheme="minorHAnsi" w:hAnsiTheme="minorHAnsi" w:cstheme="minorHAnsi"/>
          <w:i/>
          <w:color w:val="0808E6"/>
        </w:rPr>
        <w:t>in</w:t>
      </w:r>
      <w:r>
        <w:rPr>
          <w:rFonts w:asciiTheme="minorHAnsi" w:hAnsiTheme="minorHAnsi" w:cstheme="minorHAnsi"/>
          <w:i/>
          <w:color w:val="0808E6"/>
        </w:rPr>
        <w:t xml:space="preserve"> Online</w:t>
      </w:r>
      <w:r w:rsidRPr="00052A66">
        <w:rPr>
          <w:rFonts w:asciiTheme="minorHAnsi" w:hAnsiTheme="minorHAnsi" w:cstheme="minorHAnsi"/>
          <w:i/>
          <w:color w:val="0808E6"/>
        </w:rPr>
        <w:t xml:space="preserve"> Instructional Design</w:t>
      </w:r>
    </w:p>
    <w:p w:rsidR="00052A66" w:rsidRDefault="00052A66" w:rsidP="00797524">
      <w:pPr>
        <w:rPr>
          <w:rFonts w:asciiTheme="minorHAnsi" w:hAnsiTheme="minorHAnsi" w:cstheme="minorHAnsi"/>
          <w:i/>
          <w:color w:val="0808E6"/>
        </w:rPr>
      </w:pPr>
    </w:p>
    <w:p w:rsidR="00052A66" w:rsidRPr="00052A66" w:rsidRDefault="00052A66" w:rsidP="00797524">
      <w:pPr>
        <w:rPr>
          <w:rFonts w:ascii="Times New Roman" w:hAnsi="Times New Roman"/>
          <w:color w:val="000000" w:themeColor="text1"/>
        </w:rPr>
      </w:pPr>
      <w:r w:rsidRPr="00052A66">
        <w:rPr>
          <w:rFonts w:ascii="Times New Roman" w:hAnsi="Times New Roman"/>
          <w:color w:val="000000" w:themeColor="text1"/>
        </w:rPr>
        <w:t xml:space="preserve">UAF has just approved this new, </w:t>
      </w:r>
      <w:r w:rsidR="00F24291">
        <w:rPr>
          <w:rFonts w:ascii="Times New Roman" w:hAnsi="Times New Roman"/>
          <w:color w:val="000000" w:themeColor="text1"/>
        </w:rPr>
        <w:t xml:space="preserve">e-Learning </w:t>
      </w:r>
      <w:r w:rsidRPr="00052A66">
        <w:rPr>
          <w:rFonts w:ascii="Times New Roman" w:hAnsi="Times New Roman"/>
          <w:color w:val="000000" w:themeColor="text1"/>
        </w:rPr>
        <w:t>option within the M.Ed. degree program.</w:t>
      </w:r>
      <w:r w:rsidR="00AA2F9A">
        <w:rPr>
          <w:rFonts w:ascii="Times New Roman" w:hAnsi="Times New Roman"/>
          <w:color w:val="000000" w:themeColor="text1"/>
        </w:rPr>
        <w:t xml:space="preserve"> Teachers, business </w:t>
      </w:r>
      <w:r w:rsidR="00816292">
        <w:rPr>
          <w:rFonts w:ascii="Times New Roman" w:hAnsi="Times New Roman"/>
          <w:color w:val="000000" w:themeColor="text1"/>
        </w:rPr>
        <w:t>and industry trainers</w:t>
      </w:r>
      <w:r w:rsidR="00AA2F9A">
        <w:rPr>
          <w:rFonts w:ascii="Times New Roman" w:hAnsi="Times New Roman"/>
          <w:color w:val="000000" w:themeColor="text1"/>
        </w:rPr>
        <w:t xml:space="preserve">, </w:t>
      </w:r>
      <w:r w:rsidR="00816292">
        <w:rPr>
          <w:rFonts w:ascii="Times New Roman" w:hAnsi="Times New Roman"/>
          <w:color w:val="000000" w:themeColor="text1"/>
        </w:rPr>
        <w:t>and others need to develop educationally sound, web based learning materials.  The new M.Ed. in Online Instructional Design offers students the opportunity to develop the required skills, incorporating instruction in educational theory, assessment and research, and web based tools.</w:t>
      </w:r>
    </w:p>
    <w:p w:rsidR="00967BBB" w:rsidRDefault="00967BBB" w:rsidP="00797524">
      <w:pPr>
        <w:rPr>
          <w:b/>
          <w:color w:val="0808E6"/>
        </w:rPr>
      </w:pPr>
    </w:p>
    <w:p w:rsidR="00967BBB" w:rsidRPr="00967BBB" w:rsidRDefault="00967BBB" w:rsidP="00797524">
      <w:pPr>
        <w:rPr>
          <w:b/>
          <w:i/>
          <w:color w:val="0808E6"/>
        </w:rPr>
      </w:pPr>
    </w:p>
    <w:p w:rsidR="00816292" w:rsidRDefault="00816292" w:rsidP="006119B4">
      <w:pPr>
        <w:ind w:firstLine="0"/>
        <w:rPr>
          <w:b/>
          <w:color w:val="0808E6"/>
        </w:rPr>
      </w:pPr>
      <w:r>
        <w:rPr>
          <w:b/>
          <w:color w:val="0808E6"/>
        </w:rPr>
        <w:t>Ongoing UAF e-Learning Training for Faculty</w:t>
      </w:r>
      <w:r w:rsidR="00997526">
        <w:rPr>
          <w:b/>
          <w:color w:val="0808E6"/>
        </w:rPr>
        <w:t>:</w:t>
      </w:r>
      <w:r w:rsidR="005D118A">
        <w:rPr>
          <w:b/>
          <w:color w:val="0808E6"/>
        </w:rPr>
        <w:t xml:space="preserve"> FY11</w:t>
      </w:r>
      <w:r w:rsidR="00997526">
        <w:rPr>
          <w:b/>
          <w:color w:val="0808E6"/>
        </w:rPr>
        <w:t xml:space="preserve"> Update</w:t>
      </w:r>
    </w:p>
    <w:p w:rsidR="00797524" w:rsidRDefault="00797524" w:rsidP="006119B4">
      <w:pPr>
        <w:ind w:firstLine="0"/>
        <w:rPr>
          <w:rStyle w:val="IntenseEmphasis"/>
        </w:rPr>
      </w:pPr>
    </w:p>
    <w:p w:rsidR="00E446F4" w:rsidRPr="001E027B" w:rsidRDefault="00E446F4" w:rsidP="006119B4">
      <w:pPr>
        <w:ind w:firstLine="0"/>
        <w:rPr>
          <w:rStyle w:val="apple-style-span"/>
          <w:rFonts w:asciiTheme="minorHAnsi" w:hAnsiTheme="minorHAnsi" w:cstheme="minorHAnsi"/>
          <w:i/>
          <w:color w:val="0808E6"/>
        </w:rPr>
      </w:pPr>
      <w:r w:rsidRPr="001E027B">
        <w:rPr>
          <w:rStyle w:val="apple-style-span"/>
          <w:rFonts w:asciiTheme="minorHAnsi" w:hAnsiTheme="minorHAnsi" w:cstheme="minorHAnsi"/>
          <w:i/>
          <w:color w:val="0808E6"/>
        </w:rPr>
        <w:t>Center for Distance Education</w:t>
      </w:r>
    </w:p>
    <w:p w:rsidR="006119B4" w:rsidRDefault="006119B4" w:rsidP="00E446F4">
      <w:pPr>
        <w:rPr>
          <w:rStyle w:val="apple-style-span"/>
          <w:rFonts w:ascii="Arial" w:hAnsi="Arial" w:cs="Arial"/>
          <w:color w:val="222222"/>
          <w:sz w:val="20"/>
          <w:szCs w:val="20"/>
        </w:rPr>
      </w:pPr>
    </w:p>
    <w:p w:rsidR="006119B4" w:rsidRPr="00B468BE" w:rsidRDefault="003C630F" w:rsidP="00E446F4">
      <w:pPr>
        <w:rPr>
          <w:rStyle w:val="apple-style-span"/>
          <w:rFonts w:ascii="Times New Roman" w:hAnsi="Times New Roman"/>
          <w:color w:val="222222"/>
          <w:sz w:val="20"/>
          <w:szCs w:val="20"/>
        </w:rPr>
      </w:pPr>
      <w:r>
        <w:rPr>
          <w:rStyle w:val="apple-style-span"/>
          <w:rFonts w:ascii="Times New Roman" w:hAnsi="Times New Roman"/>
          <w:color w:val="222222"/>
          <w:sz w:val="20"/>
          <w:szCs w:val="20"/>
        </w:rPr>
        <w:t>The Center for Distance Education (</w:t>
      </w:r>
      <w:r w:rsidR="006119B4" w:rsidRPr="00B468BE">
        <w:rPr>
          <w:rStyle w:val="apple-style-span"/>
          <w:rFonts w:ascii="Times New Roman" w:hAnsi="Times New Roman"/>
          <w:color w:val="222222"/>
          <w:sz w:val="20"/>
          <w:szCs w:val="20"/>
        </w:rPr>
        <w:t>CDE</w:t>
      </w:r>
      <w:r>
        <w:rPr>
          <w:rStyle w:val="apple-style-span"/>
          <w:rFonts w:ascii="Times New Roman" w:hAnsi="Times New Roman"/>
          <w:color w:val="222222"/>
          <w:sz w:val="20"/>
          <w:szCs w:val="20"/>
        </w:rPr>
        <w:t>)</w:t>
      </w:r>
      <w:r w:rsidR="006119B4" w:rsidRPr="00B468BE">
        <w:rPr>
          <w:rStyle w:val="apple-style-span"/>
          <w:rFonts w:ascii="Times New Roman" w:hAnsi="Times New Roman"/>
          <w:color w:val="222222"/>
          <w:sz w:val="20"/>
          <w:szCs w:val="20"/>
        </w:rPr>
        <w:t xml:space="preserve"> has a curriculum called iTeach that develops faculty skills in several on-line instructional tools as well as on-line instructional design and pedagogy.  Vice President Dani</w:t>
      </w:r>
      <w:r w:rsidR="00A50D98">
        <w:rPr>
          <w:rStyle w:val="apple-style-span"/>
          <w:rFonts w:ascii="Times New Roman" w:hAnsi="Times New Roman"/>
          <w:color w:val="222222"/>
          <w:sz w:val="20"/>
          <w:szCs w:val="20"/>
        </w:rPr>
        <w:t>el Julius provided $35,000 for f</w:t>
      </w:r>
      <w:r w:rsidR="006119B4" w:rsidRPr="00B468BE">
        <w:rPr>
          <w:rStyle w:val="apple-style-span"/>
          <w:rFonts w:ascii="Times New Roman" w:hAnsi="Times New Roman"/>
          <w:color w:val="222222"/>
          <w:sz w:val="20"/>
          <w:szCs w:val="20"/>
        </w:rPr>
        <w:t xml:space="preserve">all </w:t>
      </w:r>
      <w:r w:rsidR="00A50D98">
        <w:rPr>
          <w:rStyle w:val="apple-style-span"/>
          <w:rFonts w:ascii="Times New Roman" w:hAnsi="Times New Roman"/>
          <w:color w:val="222222"/>
          <w:sz w:val="20"/>
          <w:szCs w:val="20"/>
        </w:rPr>
        <w:t>2010 and s</w:t>
      </w:r>
      <w:r w:rsidR="006119B4" w:rsidRPr="00B468BE">
        <w:rPr>
          <w:rStyle w:val="apple-style-span"/>
          <w:rFonts w:ascii="Times New Roman" w:hAnsi="Times New Roman"/>
          <w:color w:val="222222"/>
          <w:sz w:val="20"/>
          <w:szCs w:val="20"/>
        </w:rPr>
        <w:t xml:space="preserve">pring </w:t>
      </w:r>
      <w:r w:rsidR="00A50D98">
        <w:rPr>
          <w:rStyle w:val="apple-style-span"/>
          <w:rFonts w:ascii="Times New Roman" w:hAnsi="Times New Roman"/>
          <w:color w:val="222222"/>
          <w:sz w:val="20"/>
          <w:szCs w:val="20"/>
        </w:rPr>
        <w:t>20</w:t>
      </w:r>
      <w:r w:rsidR="006119B4" w:rsidRPr="00B468BE">
        <w:rPr>
          <w:rStyle w:val="apple-style-span"/>
          <w:rFonts w:ascii="Times New Roman" w:hAnsi="Times New Roman"/>
          <w:color w:val="222222"/>
          <w:sz w:val="20"/>
          <w:szCs w:val="20"/>
        </w:rPr>
        <w:t>11 mini-iTeach (</w:t>
      </w:r>
      <w:r>
        <w:rPr>
          <w:rStyle w:val="apple-style-span"/>
          <w:rFonts w:ascii="Times New Roman" w:hAnsi="Times New Roman"/>
          <w:color w:val="222222"/>
          <w:sz w:val="20"/>
          <w:szCs w:val="20"/>
        </w:rPr>
        <w:t>two</w:t>
      </w:r>
      <w:r w:rsidR="006119B4" w:rsidRPr="00B468BE">
        <w:rPr>
          <w:rStyle w:val="apple-style-span"/>
          <w:rFonts w:ascii="Times New Roman" w:hAnsi="Times New Roman"/>
          <w:color w:val="222222"/>
          <w:sz w:val="20"/>
          <w:szCs w:val="20"/>
        </w:rPr>
        <w:t xml:space="preserve"> weekends each semester).  A total of 28 faculty members participated.</w:t>
      </w:r>
      <w:r w:rsidR="006119B4" w:rsidRPr="00B468BE">
        <w:rPr>
          <w:rFonts w:ascii="Times New Roman" w:hAnsi="Times New Roman"/>
          <w:color w:val="222222"/>
          <w:sz w:val="20"/>
          <w:szCs w:val="20"/>
        </w:rPr>
        <w:t xml:space="preserve"> </w:t>
      </w:r>
      <w:r w:rsidR="006119B4" w:rsidRPr="00B468BE">
        <w:rPr>
          <w:rStyle w:val="apple-style-span"/>
          <w:rFonts w:ascii="Times New Roman" w:hAnsi="Times New Roman"/>
          <w:color w:val="222222"/>
          <w:sz w:val="20"/>
          <w:szCs w:val="20"/>
        </w:rPr>
        <w:t>CDE also offered two one week long (five days) iTeach sessions with total of 26 faculty members participating.</w:t>
      </w:r>
    </w:p>
    <w:p w:rsidR="006119B4" w:rsidRPr="00B468BE" w:rsidRDefault="006119B4" w:rsidP="00E446F4">
      <w:pPr>
        <w:rPr>
          <w:rStyle w:val="apple-style-span"/>
          <w:rFonts w:ascii="Times New Roman" w:hAnsi="Times New Roman"/>
          <w:color w:val="222222"/>
          <w:sz w:val="20"/>
          <w:szCs w:val="20"/>
        </w:rPr>
      </w:pPr>
    </w:p>
    <w:p w:rsidR="006119B4" w:rsidRPr="00B468BE" w:rsidRDefault="00E446F4" w:rsidP="00E446F4">
      <w:pPr>
        <w:rPr>
          <w:rStyle w:val="apple-style-span"/>
          <w:rFonts w:ascii="Times New Roman" w:hAnsi="Times New Roman"/>
          <w:color w:val="222222"/>
          <w:sz w:val="20"/>
          <w:szCs w:val="20"/>
        </w:rPr>
      </w:pPr>
      <w:r w:rsidRPr="00B468BE">
        <w:rPr>
          <w:rStyle w:val="apple-style-span"/>
          <w:rFonts w:ascii="Times New Roman" w:hAnsi="Times New Roman"/>
          <w:color w:val="222222"/>
          <w:sz w:val="20"/>
          <w:szCs w:val="20"/>
        </w:rPr>
        <w:t>CDE sent two instructional designers to support UAS faculty training last summer.  The total number of participants was about 10 faculty.</w:t>
      </w:r>
    </w:p>
    <w:p w:rsidR="006119B4" w:rsidRPr="00B468BE" w:rsidRDefault="006119B4" w:rsidP="00E446F4">
      <w:pPr>
        <w:rPr>
          <w:rStyle w:val="apple-style-span"/>
          <w:rFonts w:ascii="Times New Roman" w:hAnsi="Times New Roman"/>
          <w:color w:val="222222"/>
          <w:sz w:val="20"/>
          <w:szCs w:val="20"/>
        </w:rPr>
      </w:pPr>
    </w:p>
    <w:p w:rsidR="006119B4" w:rsidRPr="00B468BE" w:rsidRDefault="00E446F4" w:rsidP="00E446F4">
      <w:pPr>
        <w:rPr>
          <w:rFonts w:ascii="Times New Roman" w:hAnsi="Times New Roman"/>
          <w:color w:val="222222"/>
          <w:sz w:val="20"/>
          <w:szCs w:val="20"/>
        </w:rPr>
      </w:pPr>
      <w:r w:rsidRPr="00B468BE">
        <w:rPr>
          <w:rStyle w:val="apple-style-span"/>
          <w:rFonts w:ascii="Times New Roman" w:hAnsi="Times New Roman"/>
          <w:color w:val="222222"/>
          <w:sz w:val="20"/>
          <w:szCs w:val="20"/>
        </w:rPr>
        <w:t xml:space="preserve">CDE also provided the following faculty professional development </w:t>
      </w:r>
      <w:r w:rsidR="006119B4" w:rsidRPr="00B468BE">
        <w:rPr>
          <w:rStyle w:val="apple-style-span"/>
          <w:rFonts w:ascii="Times New Roman" w:hAnsi="Times New Roman"/>
          <w:color w:val="222222"/>
          <w:sz w:val="20"/>
          <w:szCs w:val="20"/>
        </w:rPr>
        <w:t>opportunities</w:t>
      </w:r>
      <w:r w:rsidRPr="00B468BE">
        <w:rPr>
          <w:rStyle w:val="apple-style-span"/>
          <w:rFonts w:ascii="Times New Roman" w:hAnsi="Times New Roman"/>
          <w:color w:val="222222"/>
          <w:sz w:val="20"/>
          <w:szCs w:val="20"/>
        </w:rPr>
        <w:t>:</w:t>
      </w:r>
    </w:p>
    <w:p w:rsidR="006119B4" w:rsidRPr="00B468BE" w:rsidRDefault="006119B4" w:rsidP="00E446F4">
      <w:pPr>
        <w:rPr>
          <w:rFonts w:ascii="Times New Roman" w:hAnsi="Times New Roman"/>
          <w:color w:val="222222"/>
          <w:sz w:val="20"/>
          <w:szCs w:val="20"/>
        </w:rPr>
      </w:pPr>
    </w:p>
    <w:p w:rsidR="006119B4" w:rsidRPr="00B468BE" w:rsidRDefault="00E446F4" w:rsidP="006119B4">
      <w:pPr>
        <w:pStyle w:val="ListParagraph"/>
        <w:numPr>
          <w:ilvl w:val="0"/>
          <w:numId w:val="9"/>
        </w:numPr>
        <w:rPr>
          <w:rFonts w:ascii="Times New Roman" w:hAnsi="Times New Roman"/>
          <w:color w:val="222222"/>
          <w:sz w:val="20"/>
          <w:szCs w:val="20"/>
        </w:rPr>
      </w:pPr>
      <w:r w:rsidRPr="00B468BE">
        <w:rPr>
          <w:rStyle w:val="apple-style-span"/>
          <w:rFonts w:ascii="Times New Roman" w:hAnsi="Times New Roman"/>
          <w:color w:val="222222"/>
          <w:sz w:val="20"/>
          <w:szCs w:val="20"/>
        </w:rPr>
        <w:t xml:space="preserve">ASTE </w:t>
      </w:r>
      <w:r w:rsidR="003C630F">
        <w:rPr>
          <w:rStyle w:val="apple-style-span"/>
          <w:rFonts w:ascii="Times New Roman" w:hAnsi="Times New Roman"/>
          <w:color w:val="222222"/>
          <w:sz w:val="20"/>
          <w:szCs w:val="20"/>
        </w:rPr>
        <w:t xml:space="preserve">(Association for Science Teacher Education) </w:t>
      </w:r>
      <w:r w:rsidR="001D1686">
        <w:rPr>
          <w:rStyle w:val="apple-style-span"/>
          <w:rFonts w:ascii="Times New Roman" w:hAnsi="Times New Roman"/>
          <w:color w:val="222222"/>
          <w:sz w:val="20"/>
          <w:szCs w:val="20"/>
        </w:rPr>
        <w:t>pre-c</w:t>
      </w:r>
      <w:r w:rsidRPr="00B468BE">
        <w:rPr>
          <w:rStyle w:val="apple-style-span"/>
          <w:rFonts w:ascii="Times New Roman" w:hAnsi="Times New Roman"/>
          <w:color w:val="222222"/>
          <w:sz w:val="20"/>
          <w:szCs w:val="20"/>
        </w:rPr>
        <w:t>onference training for 15 faculty.</w:t>
      </w:r>
    </w:p>
    <w:p w:rsidR="006119B4" w:rsidRPr="00B468BE" w:rsidRDefault="006119B4" w:rsidP="00E446F4">
      <w:pPr>
        <w:rPr>
          <w:rFonts w:ascii="Times New Roman" w:hAnsi="Times New Roman"/>
          <w:color w:val="222222"/>
          <w:sz w:val="20"/>
          <w:szCs w:val="20"/>
        </w:rPr>
      </w:pPr>
    </w:p>
    <w:p w:rsidR="006119B4" w:rsidRPr="00B468BE" w:rsidRDefault="00E446F4" w:rsidP="006119B4">
      <w:pPr>
        <w:pStyle w:val="ListParagraph"/>
        <w:numPr>
          <w:ilvl w:val="0"/>
          <w:numId w:val="9"/>
        </w:numPr>
        <w:rPr>
          <w:rStyle w:val="apple-style-span"/>
          <w:rFonts w:ascii="Times New Roman" w:hAnsi="Times New Roman"/>
          <w:color w:val="222222"/>
          <w:sz w:val="20"/>
          <w:szCs w:val="20"/>
        </w:rPr>
      </w:pPr>
      <w:r w:rsidRPr="00B468BE">
        <w:rPr>
          <w:rStyle w:val="apple-style-span"/>
          <w:rFonts w:ascii="Times New Roman" w:hAnsi="Times New Roman"/>
          <w:color w:val="222222"/>
          <w:sz w:val="20"/>
          <w:szCs w:val="20"/>
        </w:rPr>
        <w:t>Four Tech Fest training sessions for a total of 32 faculty</w:t>
      </w:r>
      <w:r w:rsidR="004F74FE">
        <w:rPr>
          <w:rStyle w:val="apple-style-span"/>
          <w:rFonts w:ascii="Times New Roman" w:hAnsi="Times New Roman"/>
          <w:color w:val="222222"/>
          <w:sz w:val="20"/>
          <w:szCs w:val="20"/>
        </w:rPr>
        <w:t>.</w:t>
      </w:r>
    </w:p>
    <w:p w:rsidR="006119B4" w:rsidRPr="00B468BE" w:rsidRDefault="006119B4" w:rsidP="006119B4">
      <w:pPr>
        <w:pStyle w:val="ListParagraph"/>
        <w:rPr>
          <w:rStyle w:val="apple-style-span"/>
          <w:rFonts w:ascii="Times New Roman" w:hAnsi="Times New Roman"/>
          <w:color w:val="222222"/>
          <w:sz w:val="20"/>
          <w:szCs w:val="20"/>
        </w:rPr>
      </w:pPr>
    </w:p>
    <w:p w:rsidR="006119B4" w:rsidRPr="00B468BE" w:rsidRDefault="006119B4" w:rsidP="006119B4">
      <w:pPr>
        <w:pStyle w:val="ListParagraph"/>
        <w:numPr>
          <w:ilvl w:val="0"/>
          <w:numId w:val="9"/>
        </w:numPr>
        <w:rPr>
          <w:rStyle w:val="apple-style-span"/>
          <w:rFonts w:ascii="Times New Roman" w:hAnsi="Times New Roman"/>
          <w:color w:val="222222"/>
          <w:sz w:val="20"/>
          <w:szCs w:val="20"/>
        </w:rPr>
      </w:pPr>
      <w:r w:rsidRPr="00B468BE">
        <w:rPr>
          <w:rStyle w:val="apple-style-span"/>
          <w:rFonts w:ascii="Times New Roman" w:hAnsi="Times New Roman"/>
          <w:color w:val="222222"/>
          <w:sz w:val="20"/>
          <w:szCs w:val="20"/>
        </w:rPr>
        <w:t>Four hours of free instructional design consulting to any faculty member from any unit</w:t>
      </w:r>
      <w:r w:rsidR="00A50D98">
        <w:rPr>
          <w:rStyle w:val="apple-style-span"/>
          <w:rFonts w:ascii="Times New Roman" w:hAnsi="Times New Roman"/>
          <w:color w:val="222222"/>
          <w:sz w:val="20"/>
          <w:szCs w:val="20"/>
        </w:rPr>
        <w:t xml:space="preserve"> on request</w:t>
      </w:r>
      <w:r w:rsidRPr="00B468BE">
        <w:rPr>
          <w:rStyle w:val="apple-style-span"/>
          <w:rFonts w:ascii="Times New Roman" w:hAnsi="Times New Roman"/>
          <w:color w:val="222222"/>
          <w:sz w:val="20"/>
          <w:szCs w:val="20"/>
        </w:rPr>
        <w:t>.</w:t>
      </w:r>
      <w:r w:rsidR="00E446F4" w:rsidRPr="00B468BE">
        <w:rPr>
          <w:rStyle w:val="apple-style-span"/>
          <w:rFonts w:ascii="Times New Roman" w:hAnsi="Times New Roman"/>
          <w:color w:val="222222"/>
          <w:sz w:val="20"/>
          <w:szCs w:val="20"/>
        </w:rPr>
        <w:t xml:space="preserve"> </w:t>
      </w:r>
    </w:p>
    <w:p w:rsidR="006119B4" w:rsidRPr="00B468BE" w:rsidRDefault="006119B4" w:rsidP="00E446F4">
      <w:pPr>
        <w:rPr>
          <w:rStyle w:val="apple-style-span"/>
          <w:rFonts w:ascii="Times New Roman" w:hAnsi="Times New Roman"/>
          <w:color w:val="222222"/>
          <w:sz w:val="20"/>
          <w:szCs w:val="20"/>
        </w:rPr>
      </w:pPr>
    </w:p>
    <w:p w:rsidR="005D118A" w:rsidRPr="00B468BE" w:rsidRDefault="006119B4" w:rsidP="006119B4">
      <w:pPr>
        <w:pStyle w:val="ListParagraph"/>
        <w:numPr>
          <w:ilvl w:val="0"/>
          <w:numId w:val="9"/>
        </w:numPr>
        <w:rPr>
          <w:rStyle w:val="apple-style-span"/>
          <w:rFonts w:ascii="Times New Roman" w:hAnsi="Times New Roman"/>
          <w:color w:val="222222"/>
          <w:sz w:val="20"/>
          <w:szCs w:val="20"/>
        </w:rPr>
      </w:pPr>
      <w:r w:rsidRPr="00B468BE">
        <w:rPr>
          <w:rStyle w:val="apple-style-span"/>
          <w:rFonts w:ascii="Times New Roman" w:hAnsi="Times New Roman"/>
          <w:color w:val="222222"/>
          <w:sz w:val="20"/>
          <w:szCs w:val="20"/>
        </w:rPr>
        <w:t>A</w:t>
      </w:r>
      <w:r w:rsidR="005D118A" w:rsidRPr="00B468BE">
        <w:rPr>
          <w:rStyle w:val="apple-style-span"/>
          <w:rFonts w:ascii="Times New Roman" w:hAnsi="Times New Roman"/>
          <w:color w:val="222222"/>
          <w:sz w:val="20"/>
          <w:szCs w:val="20"/>
        </w:rPr>
        <w:t>n extensive website on e-</w:t>
      </w:r>
      <w:r w:rsidR="004F74FE">
        <w:rPr>
          <w:rStyle w:val="apple-style-span"/>
          <w:rFonts w:ascii="Times New Roman" w:hAnsi="Times New Roman"/>
          <w:color w:val="222222"/>
          <w:sz w:val="20"/>
          <w:szCs w:val="20"/>
        </w:rPr>
        <w:t>learning</w:t>
      </w:r>
      <w:r w:rsidR="005D118A" w:rsidRPr="00B468BE">
        <w:rPr>
          <w:rStyle w:val="apple-style-span"/>
          <w:rFonts w:ascii="Times New Roman" w:hAnsi="Times New Roman"/>
          <w:color w:val="222222"/>
          <w:sz w:val="20"/>
          <w:szCs w:val="20"/>
        </w:rPr>
        <w:t xml:space="preserve"> that is available to everyone:</w:t>
      </w:r>
    </w:p>
    <w:p w:rsidR="00C90B0E" w:rsidRPr="00B468BE" w:rsidRDefault="005D118A" w:rsidP="006119B4">
      <w:pPr>
        <w:pStyle w:val="ListParagraph"/>
        <w:ind w:left="1080" w:firstLine="0"/>
        <w:rPr>
          <w:rStyle w:val="apple-style-span"/>
          <w:rFonts w:ascii="Times New Roman" w:hAnsi="Times New Roman"/>
          <w:color w:val="222222"/>
          <w:sz w:val="20"/>
          <w:szCs w:val="20"/>
        </w:rPr>
      </w:pPr>
      <w:r w:rsidRPr="00B468BE">
        <w:rPr>
          <w:rStyle w:val="apple-style-span"/>
          <w:rFonts w:ascii="Times New Roman" w:hAnsi="Times New Roman"/>
          <w:color w:val="222222"/>
          <w:sz w:val="20"/>
          <w:szCs w:val="20"/>
        </w:rPr>
        <w:t>http://distance.uaf.edu/faculty/faculty-development/</w:t>
      </w:r>
    </w:p>
    <w:p w:rsidR="005D118A" w:rsidRPr="00B468BE" w:rsidRDefault="005D118A" w:rsidP="00E446F4">
      <w:pPr>
        <w:rPr>
          <w:rStyle w:val="apple-style-span"/>
          <w:rFonts w:ascii="Times New Roman" w:hAnsi="Times New Roman"/>
          <w:i/>
          <w:color w:val="0808E6"/>
          <w:sz w:val="20"/>
          <w:szCs w:val="20"/>
        </w:rPr>
      </w:pPr>
    </w:p>
    <w:p w:rsidR="00082DF3" w:rsidRPr="00B468BE" w:rsidRDefault="00082DF3" w:rsidP="00E446F4">
      <w:pPr>
        <w:rPr>
          <w:rStyle w:val="apple-style-span"/>
          <w:rFonts w:ascii="Times New Roman" w:hAnsi="Times New Roman"/>
          <w:i/>
          <w:color w:val="0808E6"/>
          <w:sz w:val="20"/>
          <w:szCs w:val="20"/>
        </w:rPr>
      </w:pPr>
    </w:p>
    <w:p w:rsidR="00082DF3" w:rsidRPr="001E027B" w:rsidRDefault="009C1E04" w:rsidP="006119B4">
      <w:pPr>
        <w:ind w:firstLine="0"/>
        <w:rPr>
          <w:rStyle w:val="apple-style-span"/>
          <w:rFonts w:asciiTheme="minorHAnsi" w:hAnsiTheme="minorHAnsi" w:cstheme="minorHAnsi"/>
          <w:i/>
          <w:color w:val="0808E6"/>
        </w:rPr>
      </w:pPr>
      <w:r w:rsidRPr="001E027B">
        <w:rPr>
          <w:rStyle w:val="apple-style-span"/>
          <w:rFonts w:asciiTheme="minorHAnsi" w:hAnsiTheme="minorHAnsi" w:cstheme="minorHAnsi"/>
          <w:i/>
          <w:color w:val="0808E6"/>
        </w:rPr>
        <w:t>O</w:t>
      </w:r>
      <w:r w:rsidR="00C90B0E" w:rsidRPr="001E027B">
        <w:rPr>
          <w:rStyle w:val="apple-style-span"/>
          <w:rFonts w:asciiTheme="minorHAnsi" w:hAnsiTheme="minorHAnsi" w:cstheme="minorHAnsi"/>
          <w:i/>
          <w:color w:val="0808E6"/>
        </w:rPr>
        <w:t>ffice of In</w:t>
      </w:r>
      <w:r w:rsidR="00460D8F">
        <w:rPr>
          <w:rStyle w:val="apple-style-span"/>
          <w:rFonts w:asciiTheme="minorHAnsi" w:hAnsiTheme="minorHAnsi" w:cstheme="minorHAnsi"/>
          <w:i/>
          <w:color w:val="0808E6"/>
        </w:rPr>
        <w:t xml:space="preserve">formation </w:t>
      </w:r>
      <w:r w:rsidR="00C90B0E" w:rsidRPr="001E027B">
        <w:rPr>
          <w:rStyle w:val="apple-style-span"/>
          <w:rFonts w:asciiTheme="minorHAnsi" w:hAnsiTheme="minorHAnsi" w:cstheme="minorHAnsi"/>
          <w:i/>
          <w:color w:val="0808E6"/>
        </w:rPr>
        <w:t>Technology</w:t>
      </w:r>
    </w:p>
    <w:p w:rsidR="00082DF3" w:rsidRDefault="00082DF3" w:rsidP="00E446F4">
      <w:pPr>
        <w:rPr>
          <w:rStyle w:val="apple-style-span"/>
          <w:rFonts w:ascii="Arial" w:hAnsi="Arial" w:cs="Arial"/>
          <w:i/>
          <w:color w:val="0808E6"/>
          <w:sz w:val="20"/>
          <w:szCs w:val="20"/>
        </w:rPr>
      </w:pPr>
    </w:p>
    <w:tbl>
      <w:tblPr>
        <w:tblW w:w="8880" w:type="dxa"/>
        <w:tblInd w:w="93" w:type="dxa"/>
        <w:tblLook w:val="04A0" w:firstRow="1" w:lastRow="0" w:firstColumn="1" w:lastColumn="0" w:noHBand="0" w:noVBand="1"/>
      </w:tblPr>
      <w:tblGrid>
        <w:gridCol w:w="6675"/>
        <w:gridCol w:w="2205"/>
      </w:tblGrid>
      <w:tr w:rsidR="00082DF3" w:rsidRPr="00082DF3" w:rsidTr="00082DF3">
        <w:trPr>
          <w:trHeight w:val="510"/>
        </w:trPr>
        <w:tc>
          <w:tcPr>
            <w:tcW w:w="6675" w:type="dxa"/>
            <w:tcBorders>
              <w:top w:val="single" w:sz="4" w:space="0" w:color="auto"/>
              <w:left w:val="single" w:sz="4" w:space="0" w:color="auto"/>
              <w:bottom w:val="single" w:sz="4" w:space="0" w:color="auto"/>
              <w:right w:val="single" w:sz="4" w:space="0" w:color="auto"/>
            </w:tcBorders>
            <w:shd w:val="clear" w:color="auto" w:fill="0808E6"/>
            <w:vAlign w:val="bottom"/>
            <w:hideMark/>
          </w:tcPr>
          <w:p w:rsidR="00082DF3" w:rsidRPr="00082DF3" w:rsidRDefault="00082DF3" w:rsidP="00082DF3">
            <w:pPr>
              <w:ind w:firstLine="0"/>
              <w:rPr>
                <w:rFonts w:ascii="Arial" w:hAnsi="Arial" w:cs="Arial"/>
                <w:b/>
                <w:bCs/>
                <w:color w:val="FFFFFF" w:themeColor="background1"/>
                <w:sz w:val="20"/>
                <w:szCs w:val="20"/>
                <w:lang w:bidi="ar-SA"/>
              </w:rPr>
            </w:pPr>
            <w:r w:rsidRPr="00082DF3">
              <w:rPr>
                <w:rFonts w:ascii="Arial" w:hAnsi="Arial" w:cs="Arial"/>
                <w:b/>
                <w:bCs/>
                <w:color w:val="FFFFFF" w:themeColor="background1"/>
                <w:sz w:val="20"/>
                <w:szCs w:val="20"/>
                <w:lang w:bidi="ar-SA"/>
              </w:rPr>
              <w:t>Class Name</w:t>
            </w:r>
          </w:p>
        </w:tc>
        <w:tc>
          <w:tcPr>
            <w:tcW w:w="2205" w:type="dxa"/>
            <w:tcBorders>
              <w:top w:val="single" w:sz="4" w:space="0" w:color="auto"/>
              <w:left w:val="nil"/>
              <w:bottom w:val="single" w:sz="4" w:space="0" w:color="auto"/>
              <w:right w:val="single" w:sz="4" w:space="0" w:color="auto"/>
            </w:tcBorders>
            <w:shd w:val="clear" w:color="auto" w:fill="0808E6"/>
            <w:vAlign w:val="bottom"/>
            <w:hideMark/>
          </w:tcPr>
          <w:p w:rsidR="00082DF3" w:rsidRPr="00082DF3" w:rsidRDefault="00082DF3" w:rsidP="00082DF3">
            <w:pPr>
              <w:ind w:firstLine="0"/>
              <w:jc w:val="center"/>
              <w:rPr>
                <w:rFonts w:ascii="Arial" w:hAnsi="Arial" w:cs="Arial"/>
                <w:b/>
                <w:bCs/>
                <w:color w:val="FFFFFF" w:themeColor="background1"/>
                <w:sz w:val="20"/>
                <w:szCs w:val="20"/>
                <w:lang w:bidi="ar-SA"/>
              </w:rPr>
            </w:pPr>
            <w:r w:rsidRPr="00082DF3">
              <w:rPr>
                <w:rFonts w:ascii="Arial" w:hAnsi="Arial" w:cs="Arial"/>
                <w:b/>
                <w:bCs/>
                <w:color w:val="FFFFFF" w:themeColor="background1"/>
                <w:sz w:val="20"/>
                <w:szCs w:val="20"/>
                <w:lang w:bidi="ar-SA"/>
              </w:rPr>
              <w:t>Number of Attendees</w:t>
            </w:r>
          </w:p>
        </w:tc>
      </w:tr>
      <w:tr w:rsidR="00082DF3" w:rsidRPr="00082DF3" w:rsidTr="00082DF3">
        <w:trPr>
          <w:trHeight w:val="225"/>
        </w:trPr>
        <w:tc>
          <w:tcPr>
            <w:tcW w:w="6675" w:type="dxa"/>
            <w:tcBorders>
              <w:top w:val="nil"/>
              <w:left w:val="single" w:sz="4" w:space="0" w:color="auto"/>
              <w:bottom w:val="single" w:sz="4" w:space="0" w:color="auto"/>
              <w:right w:val="single" w:sz="4" w:space="0" w:color="auto"/>
            </w:tcBorders>
            <w:shd w:val="clear" w:color="auto" w:fill="auto"/>
            <w:vAlign w:val="bottom"/>
            <w:hideMark/>
          </w:tcPr>
          <w:p w:rsidR="00082DF3" w:rsidRPr="00082DF3" w:rsidRDefault="00082DF3" w:rsidP="00082DF3">
            <w:pPr>
              <w:ind w:firstLine="0"/>
              <w:rPr>
                <w:rFonts w:ascii="Arial" w:hAnsi="Arial" w:cs="Arial"/>
                <w:sz w:val="20"/>
                <w:szCs w:val="20"/>
                <w:lang w:bidi="ar-SA"/>
              </w:rPr>
            </w:pPr>
            <w:r w:rsidRPr="00082DF3">
              <w:rPr>
                <w:rFonts w:ascii="Arial" w:hAnsi="Arial" w:cs="Arial"/>
                <w:sz w:val="20"/>
                <w:szCs w:val="20"/>
                <w:lang w:bidi="ar-SA"/>
              </w:rPr>
              <w:t>Blackboard Learn: Assessments &amp; Collaboration</w:t>
            </w:r>
          </w:p>
        </w:tc>
        <w:tc>
          <w:tcPr>
            <w:tcW w:w="2205" w:type="dxa"/>
            <w:tcBorders>
              <w:top w:val="nil"/>
              <w:left w:val="nil"/>
              <w:bottom w:val="single" w:sz="4" w:space="0" w:color="auto"/>
              <w:right w:val="single" w:sz="4" w:space="0" w:color="auto"/>
            </w:tcBorders>
            <w:shd w:val="clear" w:color="auto" w:fill="auto"/>
            <w:vAlign w:val="bottom"/>
            <w:hideMark/>
          </w:tcPr>
          <w:p w:rsidR="00082DF3" w:rsidRPr="00082DF3" w:rsidRDefault="00082DF3" w:rsidP="00082DF3">
            <w:pPr>
              <w:ind w:firstLine="0"/>
              <w:jc w:val="center"/>
              <w:rPr>
                <w:rFonts w:ascii="Arial" w:hAnsi="Arial" w:cs="Arial"/>
                <w:sz w:val="20"/>
                <w:szCs w:val="20"/>
                <w:lang w:bidi="ar-SA"/>
              </w:rPr>
            </w:pPr>
            <w:r w:rsidRPr="00082DF3">
              <w:rPr>
                <w:rFonts w:ascii="Arial" w:hAnsi="Arial" w:cs="Arial"/>
                <w:sz w:val="20"/>
                <w:szCs w:val="20"/>
                <w:lang w:bidi="ar-SA"/>
              </w:rPr>
              <w:t>12</w:t>
            </w:r>
          </w:p>
        </w:tc>
      </w:tr>
      <w:tr w:rsidR="00082DF3" w:rsidRPr="00082DF3" w:rsidTr="00082DF3">
        <w:trPr>
          <w:trHeight w:val="255"/>
        </w:trPr>
        <w:tc>
          <w:tcPr>
            <w:tcW w:w="6675" w:type="dxa"/>
            <w:tcBorders>
              <w:top w:val="nil"/>
              <w:left w:val="single" w:sz="4" w:space="0" w:color="auto"/>
              <w:bottom w:val="single" w:sz="4" w:space="0" w:color="auto"/>
              <w:right w:val="single" w:sz="4" w:space="0" w:color="auto"/>
            </w:tcBorders>
            <w:shd w:val="clear" w:color="auto" w:fill="auto"/>
            <w:vAlign w:val="bottom"/>
            <w:hideMark/>
          </w:tcPr>
          <w:p w:rsidR="00082DF3" w:rsidRPr="00082DF3" w:rsidRDefault="00082DF3" w:rsidP="00082DF3">
            <w:pPr>
              <w:ind w:firstLine="0"/>
              <w:rPr>
                <w:rFonts w:ascii="Arial" w:hAnsi="Arial" w:cs="Arial"/>
                <w:sz w:val="20"/>
                <w:szCs w:val="20"/>
                <w:lang w:bidi="ar-SA"/>
              </w:rPr>
            </w:pPr>
            <w:r w:rsidRPr="00082DF3">
              <w:rPr>
                <w:rFonts w:ascii="Arial" w:hAnsi="Arial" w:cs="Arial"/>
                <w:sz w:val="20"/>
                <w:szCs w:val="20"/>
                <w:lang w:bidi="ar-SA"/>
              </w:rPr>
              <w:t>Blackboard Learn: Assessments &amp; Collaboration (via Elive)</w:t>
            </w:r>
          </w:p>
        </w:tc>
        <w:tc>
          <w:tcPr>
            <w:tcW w:w="2205" w:type="dxa"/>
            <w:tcBorders>
              <w:top w:val="nil"/>
              <w:left w:val="nil"/>
              <w:bottom w:val="single" w:sz="4" w:space="0" w:color="auto"/>
              <w:right w:val="single" w:sz="4" w:space="0" w:color="auto"/>
            </w:tcBorders>
            <w:shd w:val="clear" w:color="auto" w:fill="auto"/>
            <w:vAlign w:val="bottom"/>
            <w:hideMark/>
          </w:tcPr>
          <w:p w:rsidR="00082DF3" w:rsidRPr="00082DF3" w:rsidRDefault="00082DF3" w:rsidP="00082DF3">
            <w:pPr>
              <w:ind w:firstLine="0"/>
              <w:jc w:val="center"/>
              <w:rPr>
                <w:rFonts w:ascii="Arial" w:hAnsi="Arial" w:cs="Arial"/>
                <w:sz w:val="20"/>
                <w:szCs w:val="20"/>
                <w:lang w:bidi="ar-SA"/>
              </w:rPr>
            </w:pPr>
            <w:r w:rsidRPr="00082DF3">
              <w:rPr>
                <w:rFonts w:ascii="Arial" w:hAnsi="Arial" w:cs="Arial"/>
                <w:sz w:val="20"/>
                <w:szCs w:val="20"/>
                <w:lang w:bidi="ar-SA"/>
              </w:rPr>
              <w:t>10</w:t>
            </w:r>
          </w:p>
        </w:tc>
      </w:tr>
      <w:tr w:rsidR="00082DF3" w:rsidRPr="00082DF3" w:rsidTr="00082DF3">
        <w:trPr>
          <w:trHeight w:val="480"/>
        </w:trPr>
        <w:tc>
          <w:tcPr>
            <w:tcW w:w="6675" w:type="dxa"/>
            <w:tcBorders>
              <w:top w:val="nil"/>
              <w:left w:val="single" w:sz="4" w:space="0" w:color="auto"/>
              <w:bottom w:val="single" w:sz="4" w:space="0" w:color="auto"/>
              <w:right w:val="single" w:sz="4" w:space="0" w:color="auto"/>
            </w:tcBorders>
            <w:shd w:val="clear" w:color="auto" w:fill="auto"/>
            <w:vAlign w:val="bottom"/>
            <w:hideMark/>
          </w:tcPr>
          <w:p w:rsidR="00082DF3" w:rsidRPr="00082DF3" w:rsidRDefault="00082DF3" w:rsidP="00082DF3">
            <w:pPr>
              <w:ind w:firstLine="0"/>
              <w:rPr>
                <w:rFonts w:ascii="Arial" w:hAnsi="Arial" w:cs="Arial"/>
                <w:sz w:val="20"/>
                <w:szCs w:val="20"/>
                <w:lang w:bidi="ar-SA"/>
              </w:rPr>
            </w:pPr>
            <w:r w:rsidRPr="00082DF3">
              <w:rPr>
                <w:rFonts w:ascii="Arial" w:hAnsi="Arial" w:cs="Arial"/>
                <w:sz w:val="20"/>
                <w:szCs w:val="20"/>
                <w:lang w:bidi="ar-SA"/>
              </w:rPr>
              <w:t>Blackboard Learn: Introduction, Navigation and Communication in the new Blackboard</w:t>
            </w:r>
          </w:p>
        </w:tc>
        <w:tc>
          <w:tcPr>
            <w:tcW w:w="2205" w:type="dxa"/>
            <w:tcBorders>
              <w:top w:val="nil"/>
              <w:left w:val="nil"/>
              <w:bottom w:val="single" w:sz="4" w:space="0" w:color="auto"/>
              <w:right w:val="single" w:sz="4" w:space="0" w:color="auto"/>
            </w:tcBorders>
            <w:shd w:val="clear" w:color="auto" w:fill="auto"/>
            <w:vAlign w:val="bottom"/>
            <w:hideMark/>
          </w:tcPr>
          <w:p w:rsidR="00082DF3" w:rsidRPr="00082DF3" w:rsidRDefault="00082DF3" w:rsidP="00082DF3">
            <w:pPr>
              <w:ind w:firstLine="0"/>
              <w:jc w:val="center"/>
              <w:rPr>
                <w:rFonts w:ascii="Arial" w:hAnsi="Arial" w:cs="Arial"/>
                <w:sz w:val="20"/>
                <w:szCs w:val="20"/>
                <w:lang w:bidi="ar-SA"/>
              </w:rPr>
            </w:pPr>
            <w:r w:rsidRPr="00082DF3">
              <w:rPr>
                <w:rFonts w:ascii="Arial" w:hAnsi="Arial" w:cs="Arial"/>
                <w:sz w:val="20"/>
                <w:szCs w:val="20"/>
                <w:lang w:bidi="ar-SA"/>
              </w:rPr>
              <w:t>101</w:t>
            </w:r>
          </w:p>
        </w:tc>
      </w:tr>
      <w:tr w:rsidR="00082DF3" w:rsidRPr="00082DF3" w:rsidTr="00082DF3">
        <w:trPr>
          <w:trHeight w:val="255"/>
        </w:trPr>
        <w:tc>
          <w:tcPr>
            <w:tcW w:w="6675" w:type="dxa"/>
            <w:tcBorders>
              <w:top w:val="nil"/>
              <w:left w:val="single" w:sz="4" w:space="0" w:color="auto"/>
              <w:bottom w:val="single" w:sz="4" w:space="0" w:color="auto"/>
              <w:right w:val="single" w:sz="4" w:space="0" w:color="auto"/>
            </w:tcBorders>
            <w:shd w:val="clear" w:color="auto" w:fill="auto"/>
            <w:vAlign w:val="bottom"/>
            <w:hideMark/>
          </w:tcPr>
          <w:p w:rsidR="00082DF3" w:rsidRPr="00082DF3" w:rsidRDefault="00082DF3" w:rsidP="00082DF3">
            <w:pPr>
              <w:ind w:firstLine="0"/>
              <w:rPr>
                <w:rFonts w:ascii="Arial" w:hAnsi="Arial" w:cs="Arial"/>
                <w:sz w:val="20"/>
                <w:szCs w:val="20"/>
                <w:lang w:bidi="ar-SA"/>
              </w:rPr>
            </w:pPr>
            <w:r w:rsidRPr="00082DF3">
              <w:rPr>
                <w:rFonts w:ascii="Arial" w:hAnsi="Arial" w:cs="Arial"/>
                <w:sz w:val="20"/>
                <w:szCs w:val="20"/>
                <w:lang w:bidi="ar-SA"/>
              </w:rPr>
              <w:t>Using Blackboard Grade Center</w:t>
            </w:r>
          </w:p>
        </w:tc>
        <w:tc>
          <w:tcPr>
            <w:tcW w:w="2205" w:type="dxa"/>
            <w:tcBorders>
              <w:top w:val="nil"/>
              <w:left w:val="nil"/>
              <w:bottom w:val="single" w:sz="4" w:space="0" w:color="auto"/>
              <w:right w:val="single" w:sz="4" w:space="0" w:color="auto"/>
            </w:tcBorders>
            <w:shd w:val="clear" w:color="auto" w:fill="auto"/>
            <w:vAlign w:val="bottom"/>
            <w:hideMark/>
          </w:tcPr>
          <w:p w:rsidR="00082DF3" w:rsidRPr="00082DF3" w:rsidRDefault="00082DF3" w:rsidP="00082DF3">
            <w:pPr>
              <w:ind w:firstLine="0"/>
              <w:jc w:val="center"/>
              <w:rPr>
                <w:rFonts w:ascii="Arial" w:hAnsi="Arial" w:cs="Arial"/>
                <w:sz w:val="20"/>
                <w:szCs w:val="20"/>
                <w:lang w:bidi="ar-SA"/>
              </w:rPr>
            </w:pPr>
            <w:r w:rsidRPr="00082DF3">
              <w:rPr>
                <w:rFonts w:ascii="Arial" w:hAnsi="Arial" w:cs="Arial"/>
                <w:sz w:val="20"/>
                <w:szCs w:val="20"/>
                <w:lang w:bidi="ar-SA"/>
              </w:rPr>
              <w:t>7</w:t>
            </w:r>
          </w:p>
        </w:tc>
      </w:tr>
      <w:tr w:rsidR="00082DF3" w:rsidRPr="00082DF3" w:rsidTr="00082DF3">
        <w:trPr>
          <w:trHeight w:val="255"/>
        </w:trPr>
        <w:tc>
          <w:tcPr>
            <w:tcW w:w="6675" w:type="dxa"/>
            <w:tcBorders>
              <w:top w:val="nil"/>
              <w:left w:val="single" w:sz="4" w:space="0" w:color="auto"/>
              <w:bottom w:val="single" w:sz="4" w:space="0" w:color="auto"/>
              <w:right w:val="single" w:sz="4" w:space="0" w:color="auto"/>
            </w:tcBorders>
            <w:shd w:val="clear" w:color="auto" w:fill="auto"/>
            <w:vAlign w:val="bottom"/>
            <w:hideMark/>
          </w:tcPr>
          <w:p w:rsidR="00082DF3" w:rsidRPr="00082DF3" w:rsidRDefault="00082DF3" w:rsidP="00082DF3">
            <w:pPr>
              <w:ind w:firstLine="0"/>
              <w:rPr>
                <w:rFonts w:ascii="Arial" w:hAnsi="Arial" w:cs="Arial"/>
                <w:sz w:val="20"/>
                <w:szCs w:val="20"/>
                <w:lang w:bidi="ar-SA"/>
              </w:rPr>
            </w:pPr>
            <w:r w:rsidRPr="00082DF3">
              <w:rPr>
                <w:rFonts w:ascii="Arial" w:hAnsi="Arial" w:cs="Arial"/>
                <w:sz w:val="20"/>
                <w:szCs w:val="20"/>
                <w:lang w:bidi="ar-SA"/>
              </w:rPr>
              <w:t>Blackboard Learn: Using the Grade Center</w:t>
            </w:r>
          </w:p>
        </w:tc>
        <w:tc>
          <w:tcPr>
            <w:tcW w:w="2205" w:type="dxa"/>
            <w:tcBorders>
              <w:top w:val="nil"/>
              <w:left w:val="nil"/>
              <w:bottom w:val="single" w:sz="4" w:space="0" w:color="auto"/>
              <w:right w:val="single" w:sz="4" w:space="0" w:color="auto"/>
            </w:tcBorders>
            <w:shd w:val="clear" w:color="auto" w:fill="auto"/>
            <w:vAlign w:val="bottom"/>
            <w:hideMark/>
          </w:tcPr>
          <w:p w:rsidR="00082DF3" w:rsidRPr="00082DF3" w:rsidRDefault="00082DF3" w:rsidP="00082DF3">
            <w:pPr>
              <w:ind w:firstLine="0"/>
              <w:jc w:val="center"/>
              <w:rPr>
                <w:rFonts w:ascii="Arial" w:hAnsi="Arial" w:cs="Arial"/>
                <w:sz w:val="20"/>
                <w:szCs w:val="20"/>
                <w:lang w:bidi="ar-SA"/>
              </w:rPr>
            </w:pPr>
            <w:r w:rsidRPr="00082DF3">
              <w:rPr>
                <w:rFonts w:ascii="Arial" w:hAnsi="Arial" w:cs="Arial"/>
                <w:sz w:val="20"/>
                <w:szCs w:val="20"/>
                <w:lang w:bidi="ar-SA"/>
              </w:rPr>
              <w:t>6</w:t>
            </w:r>
          </w:p>
        </w:tc>
      </w:tr>
      <w:tr w:rsidR="00082DF3" w:rsidRPr="00082DF3" w:rsidTr="00082DF3">
        <w:trPr>
          <w:trHeight w:val="255"/>
        </w:trPr>
        <w:tc>
          <w:tcPr>
            <w:tcW w:w="6675" w:type="dxa"/>
            <w:tcBorders>
              <w:top w:val="nil"/>
              <w:left w:val="single" w:sz="4" w:space="0" w:color="auto"/>
              <w:bottom w:val="single" w:sz="4" w:space="0" w:color="auto"/>
              <w:right w:val="single" w:sz="4" w:space="0" w:color="auto"/>
            </w:tcBorders>
            <w:shd w:val="clear" w:color="auto" w:fill="auto"/>
            <w:vAlign w:val="bottom"/>
            <w:hideMark/>
          </w:tcPr>
          <w:p w:rsidR="00082DF3" w:rsidRPr="00082DF3" w:rsidRDefault="00082DF3" w:rsidP="00082DF3">
            <w:pPr>
              <w:ind w:firstLine="0"/>
              <w:rPr>
                <w:rFonts w:ascii="Arial" w:hAnsi="Arial" w:cs="Arial"/>
                <w:sz w:val="20"/>
                <w:szCs w:val="20"/>
                <w:lang w:bidi="ar-SA"/>
              </w:rPr>
            </w:pPr>
            <w:r w:rsidRPr="00082DF3">
              <w:rPr>
                <w:rFonts w:ascii="Arial" w:hAnsi="Arial" w:cs="Arial"/>
                <w:sz w:val="20"/>
                <w:szCs w:val="20"/>
                <w:lang w:bidi="ar-SA"/>
              </w:rPr>
              <w:t>Blackboard Support Virtual Office Hours</w:t>
            </w:r>
          </w:p>
        </w:tc>
        <w:tc>
          <w:tcPr>
            <w:tcW w:w="2205" w:type="dxa"/>
            <w:tcBorders>
              <w:top w:val="nil"/>
              <w:left w:val="nil"/>
              <w:bottom w:val="single" w:sz="4" w:space="0" w:color="auto"/>
              <w:right w:val="single" w:sz="4" w:space="0" w:color="auto"/>
            </w:tcBorders>
            <w:shd w:val="clear" w:color="auto" w:fill="auto"/>
            <w:vAlign w:val="bottom"/>
            <w:hideMark/>
          </w:tcPr>
          <w:p w:rsidR="00082DF3" w:rsidRPr="00082DF3" w:rsidRDefault="00082DF3" w:rsidP="00082DF3">
            <w:pPr>
              <w:ind w:firstLine="0"/>
              <w:jc w:val="center"/>
              <w:rPr>
                <w:rFonts w:ascii="Arial" w:hAnsi="Arial" w:cs="Arial"/>
                <w:sz w:val="20"/>
                <w:szCs w:val="20"/>
                <w:lang w:bidi="ar-SA"/>
              </w:rPr>
            </w:pPr>
            <w:r w:rsidRPr="00082DF3">
              <w:rPr>
                <w:rFonts w:ascii="Arial" w:hAnsi="Arial" w:cs="Arial"/>
                <w:sz w:val="20"/>
                <w:szCs w:val="20"/>
                <w:lang w:bidi="ar-SA"/>
              </w:rPr>
              <w:t>23</w:t>
            </w:r>
          </w:p>
        </w:tc>
      </w:tr>
      <w:tr w:rsidR="00082DF3" w:rsidRPr="00082DF3" w:rsidTr="00082DF3">
        <w:trPr>
          <w:trHeight w:val="255"/>
        </w:trPr>
        <w:tc>
          <w:tcPr>
            <w:tcW w:w="6675" w:type="dxa"/>
            <w:tcBorders>
              <w:top w:val="nil"/>
              <w:left w:val="single" w:sz="4" w:space="0" w:color="auto"/>
              <w:bottom w:val="single" w:sz="4" w:space="0" w:color="auto"/>
              <w:right w:val="single" w:sz="4" w:space="0" w:color="auto"/>
            </w:tcBorders>
            <w:shd w:val="clear" w:color="auto" w:fill="auto"/>
            <w:vAlign w:val="bottom"/>
            <w:hideMark/>
          </w:tcPr>
          <w:p w:rsidR="00082DF3" w:rsidRPr="00082DF3" w:rsidRDefault="00082DF3" w:rsidP="00082DF3">
            <w:pPr>
              <w:ind w:firstLine="0"/>
              <w:rPr>
                <w:rFonts w:ascii="Arial" w:hAnsi="Arial" w:cs="Arial"/>
                <w:sz w:val="20"/>
                <w:szCs w:val="20"/>
                <w:lang w:bidi="ar-SA"/>
              </w:rPr>
            </w:pPr>
            <w:r w:rsidRPr="00082DF3">
              <w:rPr>
                <w:rFonts w:ascii="Arial" w:hAnsi="Arial" w:cs="Arial"/>
                <w:sz w:val="20"/>
                <w:szCs w:val="20"/>
                <w:lang w:bidi="ar-SA"/>
              </w:rPr>
              <w:t xml:space="preserve">Blackboard Walk-in Support </w:t>
            </w:r>
          </w:p>
        </w:tc>
        <w:tc>
          <w:tcPr>
            <w:tcW w:w="2205" w:type="dxa"/>
            <w:tcBorders>
              <w:top w:val="nil"/>
              <w:left w:val="nil"/>
              <w:bottom w:val="single" w:sz="4" w:space="0" w:color="auto"/>
              <w:right w:val="single" w:sz="4" w:space="0" w:color="auto"/>
            </w:tcBorders>
            <w:shd w:val="clear" w:color="auto" w:fill="auto"/>
            <w:vAlign w:val="bottom"/>
            <w:hideMark/>
          </w:tcPr>
          <w:p w:rsidR="00082DF3" w:rsidRPr="00082DF3" w:rsidRDefault="00082DF3" w:rsidP="00082DF3">
            <w:pPr>
              <w:ind w:firstLine="0"/>
              <w:jc w:val="center"/>
              <w:rPr>
                <w:rFonts w:ascii="Arial" w:hAnsi="Arial" w:cs="Arial"/>
                <w:sz w:val="20"/>
                <w:szCs w:val="20"/>
                <w:lang w:bidi="ar-SA"/>
              </w:rPr>
            </w:pPr>
            <w:r w:rsidRPr="00082DF3">
              <w:rPr>
                <w:rFonts w:ascii="Arial" w:hAnsi="Arial" w:cs="Arial"/>
                <w:sz w:val="20"/>
                <w:szCs w:val="20"/>
                <w:lang w:bidi="ar-SA"/>
              </w:rPr>
              <w:t>28</w:t>
            </w:r>
          </w:p>
        </w:tc>
      </w:tr>
      <w:tr w:rsidR="00082DF3" w:rsidRPr="00082DF3" w:rsidTr="00082DF3">
        <w:trPr>
          <w:trHeight w:val="255"/>
        </w:trPr>
        <w:tc>
          <w:tcPr>
            <w:tcW w:w="6675" w:type="dxa"/>
            <w:tcBorders>
              <w:top w:val="nil"/>
              <w:left w:val="single" w:sz="4" w:space="0" w:color="auto"/>
              <w:bottom w:val="single" w:sz="4" w:space="0" w:color="auto"/>
              <w:right w:val="single" w:sz="4" w:space="0" w:color="auto"/>
            </w:tcBorders>
            <w:shd w:val="clear" w:color="auto" w:fill="auto"/>
            <w:vAlign w:val="bottom"/>
            <w:hideMark/>
          </w:tcPr>
          <w:p w:rsidR="00082DF3" w:rsidRPr="00082DF3" w:rsidRDefault="00082DF3" w:rsidP="00082DF3">
            <w:pPr>
              <w:ind w:firstLine="0"/>
              <w:rPr>
                <w:rFonts w:ascii="Arial" w:hAnsi="Arial" w:cs="Arial"/>
                <w:sz w:val="20"/>
                <w:szCs w:val="20"/>
                <w:lang w:bidi="ar-SA"/>
              </w:rPr>
            </w:pPr>
            <w:r w:rsidRPr="00082DF3">
              <w:rPr>
                <w:rFonts w:ascii="Arial" w:hAnsi="Arial" w:cs="Arial"/>
                <w:sz w:val="20"/>
                <w:szCs w:val="20"/>
                <w:lang w:bidi="ar-SA"/>
              </w:rPr>
              <w:t>Configuring Your iTunes U Course</w:t>
            </w:r>
          </w:p>
        </w:tc>
        <w:tc>
          <w:tcPr>
            <w:tcW w:w="2205" w:type="dxa"/>
            <w:tcBorders>
              <w:top w:val="nil"/>
              <w:left w:val="nil"/>
              <w:bottom w:val="single" w:sz="4" w:space="0" w:color="auto"/>
              <w:right w:val="single" w:sz="4" w:space="0" w:color="auto"/>
            </w:tcBorders>
            <w:shd w:val="clear" w:color="auto" w:fill="auto"/>
            <w:vAlign w:val="bottom"/>
            <w:hideMark/>
          </w:tcPr>
          <w:p w:rsidR="00082DF3" w:rsidRPr="00082DF3" w:rsidRDefault="00082DF3" w:rsidP="00082DF3">
            <w:pPr>
              <w:ind w:firstLine="0"/>
              <w:jc w:val="center"/>
              <w:rPr>
                <w:rFonts w:ascii="Arial" w:hAnsi="Arial" w:cs="Arial"/>
                <w:sz w:val="20"/>
                <w:szCs w:val="20"/>
                <w:lang w:bidi="ar-SA"/>
              </w:rPr>
            </w:pPr>
            <w:r w:rsidRPr="00082DF3">
              <w:rPr>
                <w:rFonts w:ascii="Arial" w:hAnsi="Arial" w:cs="Arial"/>
                <w:sz w:val="20"/>
                <w:szCs w:val="20"/>
                <w:lang w:bidi="ar-SA"/>
              </w:rPr>
              <w:t>9</w:t>
            </w:r>
          </w:p>
        </w:tc>
      </w:tr>
      <w:tr w:rsidR="00082DF3" w:rsidRPr="00082DF3" w:rsidTr="00082DF3">
        <w:trPr>
          <w:trHeight w:val="255"/>
        </w:trPr>
        <w:tc>
          <w:tcPr>
            <w:tcW w:w="6675" w:type="dxa"/>
            <w:tcBorders>
              <w:top w:val="nil"/>
              <w:left w:val="single" w:sz="4" w:space="0" w:color="auto"/>
              <w:bottom w:val="single" w:sz="4" w:space="0" w:color="auto"/>
              <w:right w:val="single" w:sz="4" w:space="0" w:color="auto"/>
            </w:tcBorders>
            <w:shd w:val="clear" w:color="auto" w:fill="auto"/>
            <w:vAlign w:val="bottom"/>
            <w:hideMark/>
          </w:tcPr>
          <w:p w:rsidR="00082DF3" w:rsidRPr="00082DF3" w:rsidRDefault="00082DF3" w:rsidP="00082DF3">
            <w:pPr>
              <w:ind w:firstLine="0"/>
              <w:rPr>
                <w:rFonts w:ascii="Arial" w:hAnsi="Arial" w:cs="Arial"/>
                <w:sz w:val="20"/>
                <w:szCs w:val="20"/>
                <w:lang w:bidi="ar-SA"/>
              </w:rPr>
            </w:pPr>
            <w:r w:rsidRPr="00082DF3">
              <w:rPr>
                <w:rFonts w:ascii="Arial" w:hAnsi="Arial" w:cs="Arial"/>
                <w:sz w:val="20"/>
                <w:szCs w:val="20"/>
                <w:lang w:bidi="ar-SA"/>
              </w:rPr>
              <w:t>Creating a podcast using GarageBand</w:t>
            </w:r>
          </w:p>
        </w:tc>
        <w:tc>
          <w:tcPr>
            <w:tcW w:w="2205" w:type="dxa"/>
            <w:tcBorders>
              <w:top w:val="nil"/>
              <w:left w:val="nil"/>
              <w:bottom w:val="single" w:sz="4" w:space="0" w:color="auto"/>
              <w:right w:val="single" w:sz="4" w:space="0" w:color="auto"/>
            </w:tcBorders>
            <w:shd w:val="clear" w:color="auto" w:fill="auto"/>
            <w:vAlign w:val="bottom"/>
            <w:hideMark/>
          </w:tcPr>
          <w:p w:rsidR="00082DF3" w:rsidRPr="00082DF3" w:rsidRDefault="00082DF3" w:rsidP="00082DF3">
            <w:pPr>
              <w:ind w:firstLine="0"/>
              <w:jc w:val="center"/>
              <w:rPr>
                <w:rFonts w:ascii="Arial" w:hAnsi="Arial" w:cs="Arial"/>
                <w:sz w:val="20"/>
                <w:szCs w:val="20"/>
                <w:lang w:bidi="ar-SA"/>
              </w:rPr>
            </w:pPr>
            <w:r w:rsidRPr="00082DF3">
              <w:rPr>
                <w:rFonts w:ascii="Arial" w:hAnsi="Arial" w:cs="Arial"/>
                <w:sz w:val="20"/>
                <w:szCs w:val="20"/>
                <w:lang w:bidi="ar-SA"/>
              </w:rPr>
              <w:t>12</w:t>
            </w:r>
          </w:p>
        </w:tc>
      </w:tr>
      <w:tr w:rsidR="00082DF3" w:rsidRPr="00082DF3" w:rsidTr="00082DF3">
        <w:trPr>
          <w:trHeight w:val="255"/>
        </w:trPr>
        <w:tc>
          <w:tcPr>
            <w:tcW w:w="6675" w:type="dxa"/>
            <w:tcBorders>
              <w:top w:val="nil"/>
              <w:left w:val="single" w:sz="4" w:space="0" w:color="auto"/>
              <w:bottom w:val="single" w:sz="4" w:space="0" w:color="auto"/>
              <w:right w:val="single" w:sz="4" w:space="0" w:color="auto"/>
            </w:tcBorders>
            <w:shd w:val="clear" w:color="auto" w:fill="auto"/>
            <w:vAlign w:val="bottom"/>
            <w:hideMark/>
          </w:tcPr>
          <w:p w:rsidR="00082DF3" w:rsidRPr="00082DF3" w:rsidRDefault="00082DF3" w:rsidP="00082DF3">
            <w:pPr>
              <w:ind w:firstLine="0"/>
              <w:rPr>
                <w:rFonts w:ascii="Arial" w:hAnsi="Arial" w:cs="Arial"/>
                <w:sz w:val="20"/>
                <w:szCs w:val="20"/>
                <w:lang w:bidi="ar-SA"/>
              </w:rPr>
            </w:pPr>
            <w:r w:rsidRPr="00082DF3">
              <w:rPr>
                <w:rFonts w:ascii="Arial" w:hAnsi="Arial" w:cs="Arial"/>
                <w:sz w:val="20"/>
                <w:szCs w:val="20"/>
                <w:lang w:bidi="ar-SA"/>
              </w:rPr>
              <w:t>Elive</w:t>
            </w:r>
          </w:p>
        </w:tc>
        <w:tc>
          <w:tcPr>
            <w:tcW w:w="2205" w:type="dxa"/>
            <w:tcBorders>
              <w:top w:val="nil"/>
              <w:left w:val="nil"/>
              <w:bottom w:val="single" w:sz="4" w:space="0" w:color="auto"/>
              <w:right w:val="single" w:sz="4" w:space="0" w:color="auto"/>
            </w:tcBorders>
            <w:shd w:val="clear" w:color="auto" w:fill="auto"/>
            <w:vAlign w:val="bottom"/>
            <w:hideMark/>
          </w:tcPr>
          <w:p w:rsidR="00082DF3" w:rsidRPr="00082DF3" w:rsidRDefault="00082DF3" w:rsidP="00082DF3">
            <w:pPr>
              <w:ind w:firstLine="0"/>
              <w:jc w:val="center"/>
              <w:rPr>
                <w:rFonts w:ascii="Arial" w:hAnsi="Arial" w:cs="Arial"/>
                <w:sz w:val="20"/>
                <w:szCs w:val="20"/>
                <w:lang w:bidi="ar-SA"/>
              </w:rPr>
            </w:pPr>
            <w:r w:rsidRPr="00082DF3">
              <w:rPr>
                <w:rFonts w:ascii="Arial" w:hAnsi="Arial" w:cs="Arial"/>
                <w:sz w:val="20"/>
                <w:szCs w:val="20"/>
                <w:lang w:bidi="ar-SA"/>
              </w:rPr>
              <w:t>5</w:t>
            </w:r>
          </w:p>
        </w:tc>
      </w:tr>
      <w:tr w:rsidR="00082DF3" w:rsidRPr="00082DF3" w:rsidTr="00082DF3">
        <w:trPr>
          <w:trHeight w:val="255"/>
        </w:trPr>
        <w:tc>
          <w:tcPr>
            <w:tcW w:w="6675" w:type="dxa"/>
            <w:tcBorders>
              <w:top w:val="nil"/>
              <w:left w:val="single" w:sz="4" w:space="0" w:color="auto"/>
              <w:bottom w:val="single" w:sz="4" w:space="0" w:color="auto"/>
              <w:right w:val="single" w:sz="4" w:space="0" w:color="auto"/>
            </w:tcBorders>
            <w:shd w:val="clear" w:color="auto" w:fill="auto"/>
            <w:vAlign w:val="bottom"/>
            <w:hideMark/>
          </w:tcPr>
          <w:p w:rsidR="00082DF3" w:rsidRPr="00082DF3" w:rsidRDefault="00082DF3" w:rsidP="00082DF3">
            <w:pPr>
              <w:ind w:firstLine="0"/>
              <w:rPr>
                <w:rFonts w:ascii="Arial" w:hAnsi="Arial" w:cs="Arial"/>
                <w:sz w:val="20"/>
                <w:szCs w:val="20"/>
                <w:lang w:bidi="ar-SA"/>
              </w:rPr>
            </w:pPr>
            <w:r w:rsidRPr="00082DF3">
              <w:rPr>
                <w:rFonts w:ascii="Arial" w:hAnsi="Arial" w:cs="Arial"/>
                <w:sz w:val="20"/>
                <w:szCs w:val="20"/>
                <w:lang w:bidi="ar-SA"/>
              </w:rPr>
              <w:t>Introduction to Google Groups</w:t>
            </w:r>
          </w:p>
        </w:tc>
        <w:tc>
          <w:tcPr>
            <w:tcW w:w="2205" w:type="dxa"/>
            <w:tcBorders>
              <w:top w:val="nil"/>
              <w:left w:val="nil"/>
              <w:bottom w:val="single" w:sz="4" w:space="0" w:color="auto"/>
              <w:right w:val="single" w:sz="4" w:space="0" w:color="auto"/>
            </w:tcBorders>
            <w:shd w:val="clear" w:color="auto" w:fill="auto"/>
            <w:vAlign w:val="bottom"/>
            <w:hideMark/>
          </w:tcPr>
          <w:p w:rsidR="00082DF3" w:rsidRPr="00082DF3" w:rsidRDefault="00082DF3" w:rsidP="00082DF3">
            <w:pPr>
              <w:ind w:firstLine="0"/>
              <w:jc w:val="center"/>
              <w:rPr>
                <w:rFonts w:ascii="Arial" w:hAnsi="Arial" w:cs="Arial"/>
                <w:sz w:val="20"/>
                <w:szCs w:val="20"/>
                <w:lang w:bidi="ar-SA"/>
              </w:rPr>
            </w:pPr>
            <w:r w:rsidRPr="00082DF3">
              <w:rPr>
                <w:rFonts w:ascii="Arial" w:hAnsi="Arial" w:cs="Arial"/>
                <w:sz w:val="20"/>
                <w:szCs w:val="20"/>
                <w:lang w:bidi="ar-SA"/>
              </w:rPr>
              <w:t>44</w:t>
            </w:r>
          </w:p>
        </w:tc>
      </w:tr>
      <w:tr w:rsidR="00082DF3" w:rsidRPr="00082DF3" w:rsidTr="00082DF3">
        <w:trPr>
          <w:trHeight w:val="255"/>
        </w:trPr>
        <w:tc>
          <w:tcPr>
            <w:tcW w:w="6675" w:type="dxa"/>
            <w:tcBorders>
              <w:top w:val="nil"/>
              <w:left w:val="single" w:sz="4" w:space="0" w:color="auto"/>
              <w:bottom w:val="single" w:sz="4" w:space="0" w:color="auto"/>
              <w:right w:val="single" w:sz="4" w:space="0" w:color="auto"/>
            </w:tcBorders>
            <w:shd w:val="clear" w:color="auto" w:fill="auto"/>
            <w:vAlign w:val="bottom"/>
            <w:hideMark/>
          </w:tcPr>
          <w:p w:rsidR="00082DF3" w:rsidRPr="00082DF3" w:rsidRDefault="00082DF3" w:rsidP="00082DF3">
            <w:pPr>
              <w:ind w:firstLine="0"/>
              <w:rPr>
                <w:rFonts w:ascii="Arial" w:hAnsi="Arial" w:cs="Arial"/>
                <w:sz w:val="20"/>
                <w:szCs w:val="20"/>
                <w:lang w:bidi="ar-SA"/>
              </w:rPr>
            </w:pPr>
            <w:r w:rsidRPr="00082DF3">
              <w:rPr>
                <w:rFonts w:ascii="Arial" w:hAnsi="Arial" w:cs="Arial"/>
                <w:sz w:val="20"/>
                <w:szCs w:val="20"/>
                <w:lang w:bidi="ar-SA"/>
              </w:rPr>
              <w:t>Plan Your Semester with Blackboard</w:t>
            </w:r>
          </w:p>
        </w:tc>
        <w:tc>
          <w:tcPr>
            <w:tcW w:w="2205" w:type="dxa"/>
            <w:tcBorders>
              <w:top w:val="nil"/>
              <w:left w:val="nil"/>
              <w:bottom w:val="single" w:sz="4" w:space="0" w:color="auto"/>
              <w:right w:val="single" w:sz="4" w:space="0" w:color="auto"/>
            </w:tcBorders>
            <w:shd w:val="clear" w:color="auto" w:fill="auto"/>
            <w:vAlign w:val="bottom"/>
            <w:hideMark/>
          </w:tcPr>
          <w:p w:rsidR="00082DF3" w:rsidRPr="00082DF3" w:rsidRDefault="00082DF3" w:rsidP="00082DF3">
            <w:pPr>
              <w:ind w:firstLine="0"/>
              <w:jc w:val="center"/>
              <w:rPr>
                <w:rFonts w:ascii="Arial" w:hAnsi="Arial" w:cs="Arial"/>
                <w:sz w:val="20"/>
                <w:szCs w:val="20"/>
                <w:lang w:bidi="ar-SA"/>
              </w:rPr>
            </w:pPr>
            <w:r w:rsidRPr="00082DF3">
              <w:rPr>
                <w:rFonts w:ascii="Arial" w:hAnsi="Arial" w:cs="Arial"/>
                <w:sz w:val="20"/>
                <w:szCs w:val="20"/>
                <w:lang w:bidi="ar-SA"/>
              </w:rPr>
              <w:t>4</w:t>
            </w:r>
          </w:p>
        </w:tc>
      </w:tr>
    </w:tbl>
    <w:p w:rsidR="00A73577" w:rsidRPr="00082DF3" w:rsidRDefault="00E446F4" w:rsidP="00537BBE">
      <w:pPr>
        <w:rPr>
          <w:rStyle w:val="IntenseEmphasis"/>
          <w:rFonts w:ascii="Arial" w:hAnsi="Arial" w:cs="Arial"/>
          <w:b w:val="0"/>
          <w:bCs w:val="0"/>
          <w:iCs w:val="0"/>
          <w:color w:val="0808E6"/>
          <w:sz w:val="20"/>
          <w:szCs w:val="20"/>
        </w:rPr>
      </w:pPr>
      <w:r w:rsidRPr="00E446F4">
        <w:rPr>
          <w:rFonts w:ascii="Arial" w:hAnsi="Arial" w:cs="Arial"/>
          <w:color w:val="222222"/>
          <w:sz w:val="20"/>
          <w:szCs w:val="20"/>
        </w:rPr>
        <w:br/>
      </w:r>
    </w:p>
    <w:p w:rsidR="00F84FC8" w:rsidRDefault="00F84FC8" w:rsidP="006119B4">
      <w:pPr>
        <w:ind w:firstLine="0"/>
        <w:rPr>
          <w:rStyle w:val="IntenseEmphasis"/>
          <w:i w:val="0"/>
          <w:color w:val="0808E6"/>
        </w:rPr>
      </w:pPr>
    </w:p>
    <w:p w:rsidR="00A73577" w:rsidRPr="00082DF3" w:rsidRDefault="00A73577" w:rsidP="006119B4">
      <w:pPr>
        <w:ind w:firstLine="0"/>
        <w:rPr>
          <w:rStyle w:val="IntenseEmphasis"/>
          <w:i w:val="0"/>
          <w:color w:val="0808E6"/>
        </w:rPr>
      </w:pPr>
      <w:r w:rsidRPr="00082DF3">
        <w:rPr>
          <w:rStyle w:val="IntenseEmphasis"/>
          <w:i w:val="0"/>
          <w:color w:val="0808E6"/>
        </w:rPr>
        <w:t>List of UAF Programs that Can Be Completed Wholly or Largely by Distance</w:t>
      </w:r>
      <w:r w:rsidR="004F74FE">
        <w:rPr>
          <w:rStyle w:val="IntenseEmphasis"/>
          <w:i w:val="0"/>
          <w:color w:val="0808E6"/>
        </w:rPr>
        <w:t xml:space="preserve"> Students</w:t>
      </w:r>
    </w:p>
    <w:p w:rsidR="00A73577" w:rsidRDefault="00A73577" w:rsidP="006119B4">
      <w:pPr>
        <w:ind w:firstLine="0"/>
        <w:rPr>
          <w:rStyle w:val="IntenseEmphasis"/>
          <w:color w:val="0808E6"/>
        </w:rPr>
      </w:pPr>
    </w:p>
    <w:p w:rsidR="00A73577" w:rsidRPr="00997526" w:rsidRDefault="00A73577" w:rsidP="006119B4">
      <w:pPr>
        <w:ind w:firstLine="0"/>
        <w:rPr>
          <w:rStyle w:val="IntenseEmphasis"/>
          <w:rFonts w:asciiTheme="minorHAnsi" w:hAnsiTheme="minorHAnsi" w:cstheme="minorHAnsi"/>
          <w:i w:val="0"/>
          <w:color w:val="auto"/>
        </w:rPr>
      </w:pPr>
      <w:r w:rsidRPr="00997526">
        <w:rPr>
          <w:rStyle w:val="IntenseEmphasis"/>
          <w:rFonts w:asciiTheme="minorHAnsi" w:hAnsiTheme="minorHAnsi" w:cstheme="minorHAnsi"/>
          <w:b w:val="0"/>
          <w:i w:val="0"/>
          <w:color w:val="auto"/>
        </w:rPr>
        <w:t>These programs are not all online or asynchronous</w:t>
      </w:r>
      <w:r w:rsidRPr="00997526">
        <w:rPr>
          <w:rStyle w:val="IntenseEmphasis"/>
          <w:rFonts w:asciiTheme="minorHAnsi" w:hAnsiTheme="minorHAnsi" w:cstheme="minorHAnsi"/>
          <w:i w:val="0"/>
          <w:color w:val="auto"/>
        </w:rPr>
        <w:t xml:space="preserve">.  </w:t>
      </w:r>
    </w:p>
    <w:tbl>
      <w:tblPr>
        <w:tblW w:w="8835" w:type="dxa"/>
        <w:tblInd w:w="93" w:type="dxa"/>
        <w:tblLook w:val="04A0" w:firstRow="1" w:lastRow="0" w:firstColumn="1" w:lastColumn="0" w:noHBand="0" w:noVBand="1"/>
      </w:tblPr>
      <w:tblGrid>
        <w:gridCol w:w="2625"/>
        <w:gridCol w:w="4661"/>
        <w:gridCol w:w="1549"/>
      </w:tblGrid>
      <w:tr w:rsidR="00A73577" w:rsidRPr="00A73577" w:rsidTr="006119B4">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0808E6"/>
            <w:noWrap/>
            <w:vAlign w:val="bottom"/>
          </w:tcPr>
          <w:p w:rsidR="00A73577" w:rsidRPr="00E2176A" w:rsidRDefault="00A73577" w:rsidP="00A73577">
            <w:pPr>
              <w:ind w:firstLine="0"/>
              <w:rPr>
                <w:rFonts w:cs="Calibri"/>
                <w:b/>
                <w:color w:val="FFFFFF" w:themeColor="background1"/>
                <w:lang w:bidi="ar-SA"/>
              </w:rPr>
            </w:pPr>
            <w:r w:rsidRPr="00E2176A">
              <w:rPr>
                <w:rFonts w:cs="Calibri"/>
                <w:b/>
                <w:color w:val="FFFFFF" w:themeColor="background1"/>
                <w:lang w:bidi="ar-SA"/>
              </w:rPr>
              <w:t>Degree or Certificate</w:t>
            </w:r>
          </w:p>
        </w:tc>
        <w:tc>
          <w:tcPr>
            <w:tcW w:w="4661" w:type="dxa"/>
            <w:tcBorders>
              <w:top w:val="single" w:sz="4" w:space="0" w:color="auto"/>
              <w:left w:val="nil"/>
              <w:bottom w:val="single" w:sz="4" w:space="0" w:color="auto"/>
              <w:right w:val="single" w:sz="4" w:space="0" w:color="auto"/>
            </w:tcBorders>
            <w:shd w:val="clear" w:color="auto" w:fill="0808E6"/>
            <w:noWrap/>
            <w:vAlign w:val="bottom"/>
          </w:tcPr>
          <w:p w:rsidR="00A73577" w:rsidRPr="00E2176A" w:rsidRDefault="00A73577" w:rsidP="00A73577">
            <w:pPr>
              <w:ind w:firstLine="0"/>
              <w:rPr>
                <w:rFonts w:cs="Calibri"/>
                <w:b/>
                <w:color w:val="FFFFFF" w:themeColor="background1"/>
                <w:lang w:bidi="ar-SA"/>
              </w:rPr>
            </w:pPr>
            <w:r w:rsidRPr="00E2176A">
              <w:rPr>
                <w:rFonts w:cs="Calibri"/>
                <w:b/>
                <w:color w:val="FFFFFF" w:themeColor="background1"/>
                <w:lang w:bidi="ar-SA"/>
              </w:rPr>
              <w:t>Program Name</w:t>
            </w:r>
          </w:p>
        </w:tc>
        <w:tc>
          <w:tcPr>
            <w:tcW w:w="1549" w:type="dxa"/>
            <w:tcBorders>
              <w:top w:val="single" w:sz="4" w:space="0" w:color="auto"/>
              <w:left w:val="nil"/>
              <w:bottom w:val="single" w:sz="4" w:space="0" w:color="auto"/>
              <w:right w:val="single" w:sz="4" w:space="0" w:color="auto"/>
            </w:tcBorders>
            <w:shd w:val="clear" w:color="auto" w:fill="0808E6"/>
            <w:noWrap/>
            <w:vAlign w:val="bottom"/>
          </w:tcPr>
          <w:p w:rsidR="00A73577" w:rsidRPr="00E2176A" w:rsidRDefault="00A73577" w:rsidP="00A73577">
            <w:pPr>
              <w:ind w:firstLine="0"/>
              <w:rPr>
                <w:rFonts w:cs="Calibri"/>
                <w:b/>
                <w:color w:val="FFFFFF" w:themeColor="background1"/>
                <w:lang w:bidi="ar-SA"/>
              </w:rPr>
            </w:pPr>
            <w:r w:rsidRPr="00E2176A">
              <w:rPr>
                <w:rFonts w:cs="Calibri"/>
                <w:b/>
                <w:color w:val="FFFFFF" w:themeColor="background1"/>
                <w:lang w:bidi="ar-SA"/>
              </w:rPr>
              <w:t>% of Courses Available by Distance</w:t>
            </w:r>
          </w:p>
        </w:tc>
      </w:tr>
      <w:tr w:rsidR="00A73577" w:rsidRPr="00A73577" w:rsidTr="006119B4">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AAS</w:t>
            </w:r>
          </w:p>
        </w:tc>
        <w:tc>
          <w:tcPr>
            <w:tcW w:w="4661" w:type="dxa"/>
            <w:tcBorders>
              <w:top w:val="single" w:sz="4" w:space="0" w:color="auto"/>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Renewable Resources</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77</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AAS</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Yup'ik Language Proficiency</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80</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BA</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Political Science</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80</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Certificate</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Information Technology Specialist</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80</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MS</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Fisheries</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80</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MS</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Natural Resources Management</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80</w:t>
            </w:r>
          </w:p>
        </w:tc>
      </w:tr>
      <w:tr w:rsidR="00A73577" w:rsidRPr="00A73577" w:rsidTr="00997526">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Post Bac</w:t>
            </w:r>
            <w:r>
              <w:rPr>
                <w:rFonts w:cs="Calibri"/>
                <w:color w:val="000000"/>
                <w:lang w:bidi="ar-SA"/>
              </w:rPr>
              <w:t>calaureate</w:t>
            </w:r>
            <w:r w:rsidRPr="00A73577">
              <w:rPr>
                <w:rFonts w:cs="Calibri"/>
                <w:color w:val="000000"/>
                <w:lang w:bidi="ar-SA"/>
              </w:rPr>
              <w:t xml:space="preserve"> Certificate </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 xml:space="preserve">Secondary Education </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81</w:t>
            </w:r>
          </w:p>
        </w:tc>
      </w:tr>
      <w:tr w:rsidR="00A73577" w:rsidRPr="00A73577" w:rsidTr="00997526">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BA</w:t>
            </w:r>
          </w:p>
        </w:tc>
        <w:tc>
          <w:tcPr>
            <w:tcW w:w="4661" w:type="dxa"/>
            <w:tcBorders>
              <w:top w:val="single" w:sz="4" w:space="0" w:color="auto"/>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Anthropology</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83</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BA</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Foreign Languages</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83</w:t>
            </w:r>
          </w:p>
        </w:tc>
      </w:tr>
      <w:tr w:rsidR="00A73577" w:rsidRPr="00A73577" w:rsidTr="00A50D98">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BA</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Journalism</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83</w:t>
            </w:r>
          </w:p>
        </w:tc>
      </w:tr>
      <w:tr w:rsidR="00A73577" w:rsidRPr="00A73577" w:rsidTr="00A50D98">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577" w:rsidRPr="00A73577" w:rsidRDefault="00A73577" w:rsidP="00A73577">
            <w:pPr>
              <w:ind w:firstLine="0"/>
              <w:rPr>
                <w:rFonts w:cs="Calibri"/>
                <w:lang w:bidi="ar-SA"/>
              </w:rPr>
            </w:pPr>
            <w:r w:rsidRPr="00A73577">
              <w:rPr>
                <w:rFonts w:cs="Calibri"/>
                <w:lang w:bidi="ar-SA"/>
              </w:rPr>
              <w:t>BBA</w:t>
            </w:r>
          </w:p>
        </w:tc>
        <w:tc>
          <w:tcPr>
            <w:tcW w:w="4661" w:type="dxa"/>
            <w:tcBorders>
              <w:top w:val="single" w:sz="4" w:space="0" w:color="auto"/>
              <w:left w:val="nil"/>
              <w:bottom w:val="single" w:sz="4" w:space="0" w:color="auto"/>
              <w:right w:val="single" w:sz="4" w:space="0" w:color="auto"/>
            </w:tcBorders>
            <w:shd w:val="clear" w:color="auto" w:fill="auto"/>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Business Administration</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83</w:t>
            </w:r>
          </w:p>
        </w:tc>
      </w:tr>
      <w:tr w:rsidR="00A73577" w:rsidRPr="00A73577" w:rsidTr="006119B4">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BS</w:t>
            </w:r>
          </w:p>
        </w:tc>
        <w:tc>
          <w:tcPr>
            <w:tcW w:w="4661" w:type="dxa"/>
            <w:tcBorders>
              <w:top w:val="single" w:sz="4" w:space="0" w:color="auto"/>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Anthropology</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83</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Certificate</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Ethnobotany</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83</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MNRMG</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Natural Resources Management</w:t>
            </w:r>
            <w:r w:rsidR="00B468BE">
              <w:rPr>
                <w:rFonts w:cs="Calibri"/>
                <w:color w:val="000000"/>
                <w:lang w:bidi="ar-SA"/>
              </w:rPr>
              <w:t xml:space="preserve"> &amp; Geography</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83</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AAS</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Information Technology Specialist</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84</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AAS</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Early Childhood Education</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85</w:t>
            </w:r>
          </w:p>
        </w:tc>
      </w:tr>
      <w:tr w:rsidR="00A73577" w:rsidRPr="00A73577" w:rsidTr="009C1E0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BA</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History</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85</w:t>
            </w:r>
          </w:p>
        </w:tc>
      </w:tr>
      <w:tr w:rsidR="00A73577" w:rsidRPr="00A73577" w:rsidTr="009C1E04">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BA</w:t>
            </w:r>
          </w:p>
        </w:tc>
        <w:tc>
          <w:tcPr>
            <w:tcW w:w="4661" w:type="dxa"/>
            <w:tcBorders>
              <w:top w:val="single" w:sz="4" w:space="0" w:color="auto"/>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Sociology</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85</w:t>
            </w:r>
          </w:p>
        </w:tc>
      </w:tr>
      <w:tr w:rsidR="00A73577" w:rsidRPr="00A73577" w:rsidTr="001E027B">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BA</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Yup'ik Language and Culture</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85</w:t>
            </w:r>
          </w:p>
        </w:tc>
      </w:tr>
      <w:tr w:rsidR="00A73577" w:rsidRPr="00A73577" w:rsidTr="001E027B">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BS</w:t>
            </w:r>
          </w:p>
        </w:tc>
        <w:tc>
          <w:tcPr>
            <w:tcW w:w="4661" w:type="dxa"/>
            <w:tcBorders>
              <w:top w:val="single" w:sz="4" w:space="0" w:color="auto"/>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Sociology</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85</w:t>
            </w:r>
          </w:p>
        </w:tc>
      </w:tr>
      <w:tr w:rsidR="00A73577" w:rsidRPr="00A73577" w:rsidTr="006119B4">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BA</w:t>
            </w:r>
          </w:p>
        </w:tc>
        <w:tc>
          <w:tcPr>
            <w:tcW w:w="4661" w:type="dxa"/>
            <w:tcBorders>
              <w:top w:val="single" w:sz="4" w:space="0" w:color="auto"/>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Theatre</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87</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Certificate</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Educator: Para-Professional</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87</w:t>
            </w:r>
          </w:p>
        </w:tc>
      </w:tr>
      <w:tr w:rsidR="00A73577" w:rsidRPr="00A73577" w:rsidTr="006119B4">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Certificate</w:t>
            </w:r>
          </w:p>
        </w:tc>
        <w:tc>
          <w:tcPr>
            <w:tcW w:w="4661" w:type="dxa"/>
            <w:tcBorders>
              <w:top w:val="single" w:sz="4" w:space="0" w:color="auto"/>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Environmental Studies</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88</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M.Ed.</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Counseling</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88</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OEC</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Administrative Assistant</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88</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OEC</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Bookkeeping Technician</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88</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OEC</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Entry Level Welder</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88</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AAS</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Human Services</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89</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OEC</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Facility Maintenance</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89</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OEC</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Financial Services Representative</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89</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BA</w:t>
            </w:r>
          </w:p>
        </w:tc>
        <w:tc>
          <w:tcPr>
            <w:tcW w:w="4661" w:type="dxa"/>
            <w:tcBorders>
              <w:top w:val="nil"/>
              <w:left w:val="nil"/>
              <w:bottom w:val="single" w:sz="4" w:space="0" w:color="auto"/>
              <w:right w:val="single" w:sz="4" w:space="0" w:color="auto"/>
            </w:tcBorders>
            <w:shd w:val="clear" w:color="auto" w:fill="auto"/>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Economics</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90</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BA</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Elementary Education</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90</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BEM</w:t>
            </w:r>
          </w:p>
        </w:tc>
        <w:tc>
          <w:tcPr>
            <w:tcW w:w="4661" w:type="dxa"/>
            <w:tcBorders>
              <w:top w:val="nil"/>
              <w:left w:val="nil"/>
              <w:bottom w:val="single" w:sz="4" w:space="0" w:color="auto"/>
              <w:right w:val="single" w:sz="4" w:space="0" w:color="auto"/>
            </w:tcBorders>
            <w:shd w:val="clear" w:color="auto" w:fill="auto"/>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Emergency Management</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90</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Certificate</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Medical/Dental Reception</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90</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M.Ed.</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Cross-Cultural Education</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90</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M.Ed.</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Curriculum and Instruction</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90</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M.Ed.</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 xml:space="preserve">Secondary Education </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90</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6119B4">
            <w:pPr>
              <w:ind w:firstLine="0"/>
              <w:rPr>
                <w:rFonts w:cs="Calibri"/>
                <w:color w:val="000000"/>
                <w:lang w:bidi="ar-SA"/>
              </w:rPr>
            </w:pPr>
            <w:r w:rsidRPr="00A73577">
              <w:rPr>
                <w:rFonts w:cs="Calibri"/>
                <w:color w:val="000000"/>
                <w:lang w:bidi="ar-SA"/>
              </w:rPr>
              <w:t>Post Bac</w:t>
            </w:r>
            <w:r w:rsidR="006119B4">
              <w:rPr>
                <w:rFonts w:cs="Calibri"/>
                <w:color w:val="000000"/>
                <w:lang w:bidi="ar-SA"/>
              </w:rPr>
              <w:t>calaureate</w:t>
            </w:r>
            <w:r w:rsidRPr="00A73577">
              <w:rPr>
                <w:rFonts w:cs="Calibri"/>
                <w:color w:val="000000"/>
                <w:lang w:bidi="ar-SA"/>
              </w:rPr>
              <w:t xml:space="preserve"> Certificate </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 xml:space="preserve">Secondary Education </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90</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BA</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Alaska Native Studies</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91</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OEC</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Rural Human Services</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91</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OEC</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Rural Utility Business Management</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91</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BA</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Fisheries</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92</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Certificate</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Pre-Nursing</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92</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PhD</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Indigenous Studies</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94</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BA</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Psychology</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95</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BAS</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Arts and Sciences</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95</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BS</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Psychology</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95</w:t>
            </w:r>
          </w:p>
        </w:tc>
      </w:tr>
      <w:tr w:rsidR="00A73577" w:rsidRPr="00A73577" w:rsidTr="00997526">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AAS</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Educator: Para-Professional</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98</w:t>
            </w:r>
          </w:p>
        </w:tc>
      </w:tr>
      <w:tr w:rsidR="00A73577" w:rsidRPr="00A73577" w:rsidTr="00997526">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BA</w:t>
            </w:r>
          </w:p>
        </w:tc>
        <w:tc>
          <w:tcPr>
            <w:tcW w:w="4661" w:type="dxa"/>
            <w:tcBorders>
              <w:top w:val="single" w:sz="4" w:space="0" w:color="auto"/>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Child Development and Family Studies</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98</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BA</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Justice</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98</w:t>
            </w:r>
          </w:p>
        </w:tc>
      </w:tr>
      <w:tr w:rsidR="00A73577" w:rsidRPr="00A73577" w:rsidTr="00A50D98">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BA</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 xml:space="preserve">Social Work </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98</w:t>
            </w:r>
          </w:p>
        </w:tc>
      </w:tr>
      <w:tr w:rsidR="00A73577" w:rsidRPr="00A73577" w:rsidTr="00A50D98">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AA</w:t>
            </w:r>
          </w:p>
        </w:tc>
        <w:tc>
          <w:tcPr>
            <w:tcW w:w="4661" w:type="dxa"/>
            <w:tcBorders>
              <w:top w:val="single" w:sz="4" w:space="0" w:color="auto"/>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Associate of Arts</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100</w:t>
            </w:r>
          </w:p>
        </w:tc>
      </w:tr>
      <w:tr w:rsidR="00A73577" w:rsidRPr="00A73577" w:rsidTr="00460D8F">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AAS</w:t>
            </w:r>
          </w:p>
        </w:tc>
        <w:tc>
          <w:tcPr>
            <w:tcW w:w="4661" w:type="dxa"/>
            <w:tcBorders>
              <w:top w:val="single" w:sz="4" w:space="0" w:color="auto"/>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Applied Accounting</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100</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AAS</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 xml:space="preserve">Applied Business </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100</w:t>
            </w:r>
          </w:p>
        </w:tc>
      </w:tr>
      <w:tr w:rsidR="00A73577" w:rsidRPr="00A73577" w:rsidTr="006119B4">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AAS</w:t>
            </w:r>
          </w:p>
        </w:tc>
        <w:tc>
          <w:tcPr>
            <w:tcW w:w="4661" w:type="dxa"/>
            <w:tcBorders>
              <w:top w:val="single" w:sz="4" w:space="0" w:color="auto"/>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Tribal Management</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100</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AS</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Associate of Science</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100</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BA</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Rural Development</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100</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Certificate</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 xml:space="preserve">Accounting Technician </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100</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Certificate</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Applied Business Management</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100</w:t>
            </w:r>
          </w:p>
        </w:tc>
      </w:tr>
      <w:tr w:rsidR="00A73577" w:rsidRPr="00A73577" w:rsidTr="009C1E0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Certificate</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Health Care Reimbursement</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100</w:t>
            </w:r>
          </w:p>
        </w:tc>
      </w:tr>
      <w:tr w:rsidR="00A73577" w:rsidRPr="00A73577" w:rsidTr="009C1E04">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Certificate</w:t>
            </w:r>
          </w:p>
        </w:tc>
        <w:tc>
          <w:tcPr>
            <w:tcW w:w="4661" w:type="dxa"/>
            <w:tcBorders>
              <w:top w:val="single" w:sz="4" w:space="0" w:color="auto"/>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Tribal Management</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100</w:t>
            </w:r>
          </w:p>
        </w:tc>
      </w:tr>
      <w:tr w:rsidR="00A73577" w:rsidRPr="00A73577" w:rsidTr="001325D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Graduate Certificate</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Construction Management</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100</w:t>
            </w:r>
          </w:p>
        </w:tc>
      </w:tr>
      <w:tr w:rsidR="00A73577" w:rsidRPr="00A73577" w:rsidTr="001325DC">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M.Ed.</w:t>
            </w:r>
          </w:p>
        </w:tc>
        <w:tc>
          <w:tcPr>
            <w:tcW w:w="4661" w:type="dxa"/>
            <w:tcBorders>
              <w:top w:val="single" w:sz="4" w:space="0" w:color="auto"/>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Language and Literacy</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100</w:t>
            </w:r>
          </w:p>
        </w:tc>
      </w:tr>
      <w:tr w:rsidR="00A73577" w:rsidRPr="00A73577" w:rsidTr="006119B4">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MA</w:t>
            </w:r>
          </w:p>
        </w:tc>
        <w:tc>
          <w:tcPr>
            <w:tcW w:w="4661" w:type="dxa"/>
            <w:tcBorders>
              <w:top w:val="single" w:sz="4" w:space="0" w:color="auto"/>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 xml:space="preserve">Cross-Cultural Studies </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100</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MA</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Rural Development</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100</w:t>
            </w:r>
          </w:p>
        </w:tc>
      </w:tr>
      <w:tr w:rsidR="00A73577" w:rsidRPr="00A73577" w:rsidTr="006119B4">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MS</w:t>
            </w:r>
          </w:p>
        </w:tc>
        <w:tc>
          <w:tcPr>
            <w:tcW w:w="4661" w:type="dxa"/>
            <w:tcBorders>
              <w:top w:val="single" w:sz="4" w:space="0" w:color="auto"/>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Oceanography</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100</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OEC</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Medical Billing</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100</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OEC</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Medical Coding</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100</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OEC</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Medical Office Reception</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100</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OEC</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Nurse Aide</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100</w:t>
            </w:r>
          </w:p>
        </w:tc>
      </w:tr>
      <w:tr w:rsidR="00A73577" w:rsidRPr="00A73577" w:rsidTr="006119B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PhD</w:t>
            </w:r>
          </w:p>
        </w:tc>
        <w:tc>
          <w:tcPr>
            <w:tcW w:w="4661"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rPr>
                <w:rFonts w:cs="Calibri"/>
                <w:color w:val="000000"/>
                <w:lang w:bidi="ar-SA"/>
              </w:rPr>
            </w:pPr>
            <w:r w:rsidRPr="00A73577">
              <w:rPr>
                <w:rFonts w:cs="Calibri"/>
                <w:color w:val="000000"/>
                <w:lang w:bidi="ar-SA"/>
              </w:rPr>
              <w:t>Oceanography</w:t>
            </w:r>
          </w:p>
        </w:tc>
        <w:tc>
          <w:tcPr>
            <w:tcW w:w="1549" w:type="dxa"/>
            <w:tcBorders>
              <w:top w:val="nil"/>
              <w:left w:val="nil"/>
              <w:bottom w:val="single" w:sz="4" w:space="0" w:color="auto"/>
              <w:right w:val="single" w:sz="4" w:space="0" w:color="auto"/>
            </w:tcBorders>
            <w:shd w:val="clear" w:color="auto" w:fill="auto"/>
            <w:noWrap/>
            <w:vAlign w:val="bottom"/>
            <w:hideMark/>
          </w:tcPr>
          <w:p w:rsidR="00A73577" w:rsidRPr="00A73577" w:rsidRDefault="00A73577" w:rsidP="00A73577">
            <w:pPr>
              <w:ind w:firstLine="0"/>
              <w:jc w:val="right"/>
              <w:rPr>
                <w:rFonts w:cs="Calibri"/>
                <w:color w:val="000000"/>
                <w:lang w:bidi="ar-SA"/>
              </w:rPr>
            </w:pPr>
            <w:r w:rsidRPr="00A73577">
              <w:rPr>
                <w:rFonts w:cs="Calibri"/>
                <w:color w:val="000000"/>
                <w:lang w:bidi="ar-SA"/>
              </w:rPr>
              <w:t>100</w:t>
            </w:r>
          </w:p>
        </w:tc>
      </w:tr>
    </w:tbl>
    <w:p w:rsidR="00A73577" w:rsidRPr="00A73577" w:rsidRDefault="00A73577" w:rsidP="00537BBE">
      <w:pPr>
        <w:rPr>
          <w:rStyle w:val="IntenseEmphasis"/>
          <w:rFonts w:ascii="Times New Roman" w:hAnsi="Times New Roman"/>
          <w:i w:val="0"/>
          <w:color w:val="auto"/>
        </w:rPr>
      </w:pPr>
    </w:p>
    <w:sectPr w:rsidR="00A73577" w:rsidRPr="00A73577" w:rsidSect="00810EAA">
      <w:pgSz w:w="12240" w:h="15840" w:code="1"/>
      <w:pgMar w:top="1440" w:right="1800" w:bottom="1440" w:left="1800" w:header="576"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04C" w:rsidRDefault="000A104C">
      <w:r>
        <w:separator/>
      </w:r>
    </w:p>
  </w:endnote>
  <w:endnote w:type="continuationSeparator" w:id="0">
    <w:p w:rsidR="000A104C" w:rsidRDefault="000A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F04" w:rsidRDefault="00D87F04">
    <w:pPr>
      <w:pStyle w:val="Footer"/>
      <w:jc w:val="right"/>
    </w:pPr>
  </w:p>
  <w:p w:rsidR="00D87F04" w:rsidRDefault="00D87F04" w:rsidP="00A50D98">
    <w:pPr>
      <w:pStyle w:val="Footer"/>
      <w:ind w:firstLine="0"/>
    </w:pPr>
    <w:r>
      <w:t>Report on e-Learning, University of Alaska Fairbanks, Fall 2011</w:t>
    </w:r>
    <w:r>
      <w:tab/>
      <w:t xml:space="preserve">Page </w:t>
    </w:r>
    <w:r>
      <w:fldChar w:fldCharType="begin"/>
    </w:r>
    <w:r>
      <w:instrText xml:space="preserve"> PAGE   \* MERGEFORMAT </w:instrText>
    </w:r>
    <w:r>
      <w:fldChar w:fldCharType="separate"/>
    </w:r>
    <w:r w:rsidR="005114DB">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04C" w:rsidRDefault="000A104C">
      <w:r>
        <w:separator/>
      </w:r>
    </w:p>
  </w:footnote>
  <w:footnote w:type="continuationSeparator" w:id="0">
    <w:p w:rsidR="000A104C" w:rsidRDefault="000A1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F04" w:rsidRPr="0076221C" w:rsidRDefault="00D87F04" w:rsidP="00052A66">
    <w:pPr>
      <w:jc w:val="center"/>
      <w:rPr>
        <w:color w:val="000080"/>
      </w:rPr>
    </w:pPr>
    <w:r>
      <w:rPr>
        <w:noProof/>
        <w:lang w:bidi="ar-SA"/>
      </w:rPr>
      <w:drawing>
        <wp:inline distT="0" distB="0" distL="0" distR="0" wp14:anchorId="059613DA" wp14:editId="69843C74">
          <wp:extent cx="1144042" cy="1026544"/>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FLogo_A_webblue.gif"/>
                  <pic:cNvPicPr/>
                </pic:nvPicPr>
                <pic:blipFill>
                  <a:blip r:embed="rId1">
                    <a:extLst>
                      <a:ext uri="{28A0092B-C50C-407E-A947-70E740481C1C}">
                        <a14:useLocalDpi xmlns:a14="http://schemas.microsoft.com/office/drawing/2010/main" val="0"/>
                      </a:ext>
                    </a:extLst>
                  </a:blip>
                  <a:stretch>
                    <a:fillRect/>
                  </a:stretch>
                </pic:blipFill>
                <pic:spPr>
                  <a:xfrm>
                    <a:off x="0" y="0"/>
                    <a:ext cx="1181314" cy="1059988"/>
                  </a:xfrm>
                  <a:prstGeom prst="rect">
                    <a:avLst/>
                  </a:prstGeom>
                </pic:spPr>
              </pic:pic>
            </a:graphicData>
          </a:graphic>
        </wp:inline>
      </w:drawing>
    </w:r>
  </w:p>
  <w:p w:rsidR="00D87F04" w:rsidRDefault="00D87F04" w:rsidP="001C78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3C76"/>
    <w:multiLevelType w:val="hybridMultilevel"/>
    <w:tmpl w:val="1832A4D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3F36FF"/>
    <w:multiLevelType w:val="hybridMultilevel"/>
    <w:tmpl w:val="49C0B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1A5606"/>
    <w:multiLevelType w:val="hybridMultilevel"/>
    <w:tmpl w:val="D6D893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2F5CFB"/>
    <w:multiLevelType w:val="hybridMultilevel"/>
    <w:tmpl w:val="B7FA8E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F5D2ABD"/>
    <w:multiLevelType w:val="hybridMultilevel"/>
    <w:tmpl w:val="7B74A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4375FA9"/>
    <w:multiLevelType w:val="hybridMultilevel"/>
    <w:tmpl w:val="2F1EF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E811C08"/>
    <w:multiLevelType w:val="hybridMultilevel"/>
    <w:tmpl w:val="50A42D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151589"/>
    <w:multiLevelType w:val="hybridMultilevel"/>
    <w:tmpl w:val="D74C2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2966B9"/>
    <w:multiLevelType w:val="hybridMultilevel"/>
    <w:tmpl w:val="E10C1054"/>
    <w:lvl w:ilvl="0" w:tplc="E17A83DA">
      <w:start w:val="2"/>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6"/>
  </w:num>
  <w:num w:numId="2">
    <w:abstractNumId w:val="1"/>
  </w:num>
  <w:num w:numId="3">
    <w:abstractNumId w:val="2"/>
  </w:num>
  <w:num w:numId="4">
    <w:abstractNumId w:val="3"/>
  </w:num>
  <w:num w:numId="5">
    <w:abstractNumId w:val="7"/>
  </w:num>
  <w:num w:numId="6">
    <w:abstractNumId w:val="8"/>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DF"/>
    <w:rsid w:val="000004C2"/>
    <w:rsid w:val="0000344F"/>
    <w:rsid w:val="00022C36"/>
    <w:rsid w:val="00030161"/>
    <w:rsid w:val="00031EFF"/>
    <w:rsid w:val="0003206A"/>
    <w:rsid w:val="00052A66"/>
    <w:rsid w:val="00054555"/>
    <w:rsid w:val="0006543F"/>
    <w:rsid w:val="00066D20"/>
    <w:rsid w:val="0008258A"/>
    <w:rsid w:val="00082DF3"/>
    <w:rsid w:val="00084339"/>
    <w:rsid w:val="00090428"/>
    <w:rsid w:val="00090F29"/>
    <w:rsid w:val="00093545"/>
    <w:rsid w:val="000A104C"/>
    <w:rsid w:val="000A1692"/>
    <w:rsid w:val="000D2919"/>
    <w:rsid w:val="000D5A81"/>
    <w:rsid w:val="000F0D4D"/>
    <w:rsid w:val="000F131D"/>
    <w:rsid w:val="000F584A"/>
    <w:rsid w:val="001049B5"/>
    <w:rsid w:val="00110953"/>
    <w:rsid w:val="00114BCB"/>
    <w:rsid w:val="00116C2E"/>
    <w:rsid w:val="001325DC"/>
    <w:rsid w:val="00134464"/>
    <w:rsid w:val="00165268"/>
    <w:rsid w:val="001747AD"/>
    <w:rsid w:val="00174C3E"/>
    <w:rsid w:val="00177F1A"/>
    <w:rsid w:val="001852CF"/>
    <w:rsid w:val="001931AC"/>
    <w:rsid w:val="0019387C"/>
    <w:rsid w:val="001A05F1"/>
    <w:rsid w:val="001B4466"/>
    <w:rsid w:val="001C7824"/>
    <w:rsid w:val="001D1686"/>
    <w:rsid w:val="001D4C3A"/>
    <w:rsid w:val="001D6035"/>
    <w:rsid w:val="001E027B"/>
    <w:rsid w:val="001E6CC4"/>
    <w:rsid w:val="001E70ED"/>
    <w:rsid w:val="001F0EEE"/>
    <w:rsid w:val="001F326B"/>
    <w:rsid w:val="001F66C0"/>
    <w:rsid w:val="0021047F"/>
    <w:rsid w:val="00211165"/>
    <w:rsid w:val="00212F52"/>
    <w:rsid w:val="00223000"/>
    <w:rsid w:val="00251891"/>
    <w:rsid w:val="00256B60"/>
    <w:rsid w:val="00273686"/>
    <w:rsid w:val="00274C92"/>
    <w:rsid w:val="00277039"/>
    <w:rsid w:val="002A0E84"/>
    <w:rsid w:val="002A3575"/>
    <w:rsid w:val="002C0FB8"/>
    <w:rsid w:val="002D2A15"/>
    <w:rsid w:val="002D34D4"/>
    <w:rsid w:val="002D4A62"/>
    <w:rsid w:val="002F096E"/>
    <w:rsid w:val="003101BD"/>
    <w:rsid w:val="003168FD"/>
    <w:rsid w:val="003435BE"/>
    <w:rsid w:val="00350E52"/>
    <w:rsid w:val="00364513"/>
    <w:rsid w:val="0036460C"/>
    <w:rsid w:val="00366E05"/>
    <w:rsid w:val="00375776"/>
    <w:rsid w:val="00397D23"/>
    <w:rsid w:val="003B7166"/>
    <w:rsid w:val="003C630F"/>
    <w:rsid w:val="003D53E4"/>
    <w:rsid w:val="003D6C85"/>
    <w:rsid w:val="003E5BBA"/>
    <w:rsid w:val="003F20D6"/>
    <w:rsid w:val="003F36BD"/>
    <w:rsid w:val="004531C7"/>
    <w:rsid w:val="00460D8F"/>
    <w:rsid w:val="00480A9B"/>
    <w:rsid w:val="00491660"/>
    <w:rsid w:val="004A046A"/>
    <w:rsid w:val="004A404C"/>
    <w:rsid w:val="004B797F"/>
    <w:rsid w:val="004C135C"/>
    <w:rsid w:val="004C4807"/>
    <w:rsid w:val="004E55ED"/>
    <w:rsid w:val="004E5985"/>
    <w:rsid w:val="004E5FED"/>
    <w:rsid w:val="004F74FE"/>
    <w:rsid w:val="00505B8D"/>
    <w:rsid w:val="005114DB"/>
    <w:rsid w:val="00516814"/>
    <w:rsid w:val="005242D4"/>
    <w:rsid w:val="00537BBE"/>
    <w:rsid w:val="005469C4"/>
    <w:rsid w:val="00556006"/>
    <w:rsid w:val="00560435"/>
    <w:rsid w:val="005756F1"/>
    <w:rsid w:val="0058580E"/>
    <w:rsid w:val="0059211B"/>
    <w:rsid w:val="005B0E57"/>
    <w:rsid w:val="005C3724"/>
    <w:rsid w:val="005C5BA2"/>
    <w:rsid w:val="005D118A"/>
    <w:rsid w:val="006119B4"/>
    <w:rsid w:val="0061496D"/>
    <w:rsid w:val="006358A4"/>
    <w:rsid w:val="00662DD8"/>
    <w:rsid w:val="006709EF"/>
    <w:rsid w:val="00684068"/>
    <w:rsid w:val="006845F2"/>
    <w:rsid w:val="00685E87"/>
    <w:rsid w:val="006A1D5E"/>
    <w:rsid w:val="006A7D36"/>
    <w:rsid w:val="006B68D9"/>
    <w:rsid w:val="006C2A54"/>
    <w:rsid w:val="006C58A7"/>
    <w:rsid w:val="006E468D"/>
    <w:rsid w:val="007053AB"/>
    <w:rsid w:val="007129F8"/>
    <w:rsid w:val="00716DEB"/>
    <w:rsid w:val="00722778"/>
    <w:rsid w:val="0076221C"/>
    <w:rsid w:val="00764B30"/>
    <w:rsid w:val="007701A0"/>
    <w:rsid w:val="0078142F"/>
    <w:rsid w:val="00797524"/>
    <w:rsid w:val="007B11AD"/>
    <w:rsid w:val="007C7BCE"/>
    <w:rsid w:val="007F58F5"/>
    <w:rsid w:val="007F7ADD"/>
    <w:rsid w:val="00810EAA"/>
    <w:rsid w:val="00813DC1"/>
    <w:rsid w:val="00816292"/>
    <w:rsid w:val="00826961"/>
    <w:rsid w:val="00831EA4"/>
    <w:rsid w:val="008337C1"/>
    <w:rsid w:val="0084213E"/>
    <w:rsid w:val="0084667D"/>
    <w:rsid w:val="00850B08"/>
    <w:rsid w:val="008545E4"/>
    <w:rsid w:val="00857B64"/>
    <w:rsid w:val="0087429D"/>
    <w:rsid w:val="00877CDA"/>
    <w:rsid w:val="00886618"/>
    <w:rsid w:val="00891F38"/>
    <w:rsid w:val="008B2628"/>
    <w:rsid w:val="008B6813"/>
    <w:rsid w:val="008B70FE"/>
    <w:rsid w:val="008C2B9E"/>
    <w:rsid w:val="008D386D"/>
    <w:rsid w:val="008E36BE"/>
    <w:rsid w:val="008F0197"/>
    <w:rsid w:val="00915D47"/>
    <w:rsid w:val="00920E3D"/>
    <w:rsid w:val="00925097"/>
    <w:rsid w:val="009322BB"/>
    <w:rsid w:val="00941EA9"/>
    <w:rsid w:val="00943AF4"/>
    <w:rsid w:val="00963E5D"/>
    <w:rsid w:val="00967065"/>
    <w:rsid w:val="00967BBB"/>
    <w:rsid w:val="00981952"/>
    <w:rsid w:val="00981E72"/>
    <w:rsid w:val="00996BC3"/>
    <w:rsid w:val="00997526"/>
    <w:rsid w:val="009B012C"/>
    <w:rsid w:val="009C1E04"/>
    <w:rsid w:val="009C33D5"/>
    <w:rsid w:val="009E3EE9"/>
    <w:rsid w:val="009E6C8B"/>
    <w:rsid w:val="009F1241"/>
    <w:rsid w:val="00A01A3B"/>
    <w:rsid w:val="00A25573"/>
    <w:rsid w:val="00A43E60"/>
    <w:rsid w:val="00A4438C"/>
    <w:rsid w:val="00A50D98"/>
    <w:rsid w:val="00A66C0A"/>
    <w:rsid w:val="00A715AA"/>
    <w:rsid w:val="00A73577"/>
    <w:rsid w:val="00A759F4"/>
    <w:rsid w:val="00A763F8"/>
    <w:rsid w:val="00AA2F9A"/>
    <w:rsid w:val="00AD3686"/>
    <w:rsid w:val="00B053EC"/>
    <w:rsid w:val="00B11964"/>
    <w:rsid w:val="00B12AD8"/>
    <w:rsid w:val="00B262C4"/>
    <w:rsid w:val="00B2710E"/>
    <w:rsid w:val="00B468BE"/>
    <w:rsid w:val="00B539AA"/>
    <w:rsid w:val="00B6244C"/>
    <w:rsid w:val="00B66E06"/>
    <w:rsid w:val="00B76BB3"/>
    <w:rsid w:val="00B84835"/>
    <w:rsid w:val="00BB079C"/>
    <w:rsid w:val="00BB5FA7"/>
    <w:rsid w:val="00BC1A0A"/>
    <w:rsid w:val="00BD35C3"/>
    <w:rsid w:val="00BD75F2"/>
    <w:rsid w:val="00BF142E"/>
    <w:rsid w:val="00C12B37"/>
    <w:rsid w:val="00C2612E"/>
    <w:rsid w:val="00C302E4"/>
    <w:rsid w:val="00C3768C"/>
    <w:rsid w:val="00C510F9"/>
    <w:rsid w:val="00C723BB"/>
    <w:rsid w:val="00C90B0E"/>
    <w:rsid w:val="00CA1211"/>
    <w:rsid w:val="00CA61DB"/>
    <w:rsid w:val="00CD0711"/>
    <w:rsid w:val="00D00069"/>
    <w:rsid w:val="00D572EE"/>
    <w:rsid w:val="00D84286"/>
    <w:rsid w:val="00D87F04"/>
    <w:rsid w:val="00D93B30"/>
    <w:rsid w:val="00D955BD"/>
    <w:rsid w:val="00DA2404"/>
    <w:rsid w:val="00DC420C"/>
    <w:rsid w:val="00DD2944"/>
    <w:rsid w:val="00DD4D0A"/>
    <w:rsid w:val="00DE47D4"/>
    <w:rsid w:val="00DF3B7C"/>
    <w:rsid w:val="00E0663B"/>
    <w:rsid w:val="00E2176A"/>
    <w:rsid w:val="00E243EE"/>
    <w:rsid w:val="00E311BB"/>
    <w:rsid w:val="00E31549"/>
    <w:rsid w:val="00E446F4"/>
    <w:rsid w:val="00E77917"/>
    <w:rsid w:val="00E826FA"/>
    <w:rsid w:val="00E87478"/>
    <w:rsid w:val="00E93ACB"/>
    <w:rsid w:val="00EA1B30"/>
    <w:rsid w:val="00EC65DF"/>
    <w:rsid w:val="00ED5047"/>
    <w:rsid w:val="00F24291"/>
    <w:rsid w:val="00F31449"/>
    <w:rsid w:val="00F32ED0"/>
    <w:rsid w:val="00F3410C"/>
    <w:rsid w:val="00F365DF"/>
    <w:rsid w:val="00F515D2"/>
    <w:rsid w:val="00F84878"/>
    <w:rsid w:val="00F84FC8"/>
    <w:rsid w:val="00FA32AD"/>
    <w:rsid w:val="00FB5268"/>
    <w:rsid w:val="00FD762D"/>
    <w:rsid w:val="00FF4E9F"/>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952"/>
    <w:pPr>
      <w:ind w:firstLine="360"/>
    </w:pPr>
    <w:rPr>
      <w:sz w:val="22"/>
      <w:szCs w:val="22"/>
      <w:lang w:bidi="en-US"/>
    </w:rPr>
  </w:style>
  <w:style w:type="paragraph" w:styleId="Heading1">
    <w:name w:val="heading 1"/>
    <w:basedOn w:val="Normal"/>
    <w:next w:val="Normal"/>
    <w:link w:val="Heading1Char"/>
    <w:uiPriority w:val="9"/>
    <w:qFormat/>
    <w:rsid w:val="00981952"/>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981952"/>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981952"/>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981952"/>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981952"/>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981952"/>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981952"/>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981952"/>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981952"/>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952"/>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semiHidden/>
    <w:rsid w:val="00981952"/>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semiHidden/>
    <w:rsid w:val="00981952"/>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981952"/>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981952"/>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981952"/>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981952"/>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981952"/>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981952"/>
    <w:rPr>
      <w:rFonts w:ascii="Cambria" w:eastAsia="Times New Roman" w:hAnsi="Cambria" w:cs="Times New Roman"/>
      <w:i/>
      <w:iCs/>
      <w:color w:val="9BBB59"/>
      <w:sz w:val="20"/>
      <w:szCs w:val="20"/>
    </w:rPr>
  </w:style>
  <w:style w:type="paragraph" w:styleId="Header">
    <w:name w:val="header"/>
    <w:basedOn w:val="Normal"/>
    <w:rsid w:val="00054555"/>
    <w:pPr>
      <w:tabs>
        <w:tab w:val="center" w:pos="4320"/>
        <w:tab w:val="right" w:pos="8640"/>
      </w:tabs>
    </w:pPr>
  </w:style>
  <w:style w:type="paragraph" w:styleId="Footer">
    <w:name w:val="footer"/>
    <w:basedOn w:val="Normal"/>
    <w:link w:val="FooterChar"/>
    <w:uiPriority w:val="99"/>
    <w:rsid w:val="00054555"/>
    <w:pPr>
      <w:tabs>
        <w:tab w:val="center" w:pos="4320"/>
        <w:tab w:val="right" w:pos="8640"/>
      </w:tabs>
    </w:pPr>
  </w:style>
  <w:style w:type="character" w:customStyle="1" w:styleId="FooterChar">
    <w:name w:val="Footer Char"/>
    <w:basedOn w:val="DefaultParagraphFont"/>
    <w:link w:val="Footer"/>
    <w:uiPriority w:val="99"/>
    <w:rsid w:val="00E87478"/>
  </w:style>
  <w:style w:type="character" w:styleId="PageNumber">
    <w:name w:val="page number"/>
    <w:basedOn w:val="DefaultParagraphFont"/>
    <w:rsid w:val="00212F52"/>
  </w:style>
  <w:style w:type="character" w:styleId="Hyperlink">
    <w:name w:val="Hyperlink"/>
    <w:basedOn w:val="DefaultParagraphFont"/>
    <w:uiPriority w:val="99"/>
    <w:rsid w:val="005B0E57"/>
    <w:rPr>
      <w:color w:val="0000FF"/>
      <w:u w:val="single"/>
    </w:rPr>
  </w:style>
  <w:style w:type="paragraph" w:styleId="BalloonText">
    <w:name w:val="Balloon Text"/>
    <w:basedOn w:val="Normal"/>
    <w:semiHidden/>
    <w:rsid w:val="006A7D36"/>
    <w:rPr>
      <w:rFonts w:ascii="Tahoma" w:hAnsi="Tahoma" w:cs="Tahoma"/>
      <w:sz w:val="16"/>
      <w:szCs w:val="16"/>
    </w:rPr>
  </w:style>
  <w:style w:type="paragraph" w:styleId="Title">
    <w:name w:val="Title"/>
    <w:basedOn w:val="Normal"/>
    <w:next w:val="Normal"/>
    <w:link w:val="TitleChar"/>
    <w:uiPriority w:val="10"/>
    <w:qFormat/>
    <w:rsid w:val="00981952"/>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10"/>
    <w:rsid w:val="00981952"/>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981952"/>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81952"/>
    <w:rPr>
      <w:rFonts w:ascii="Calibri"/>
      <w:i/>
      <w:iCs/>
      <w:sz w:val="24"/>
      <w:szCs w:val="24"/>
    </w:rPr>
  </w:style>
  <w:style w:type="character" w:styleId="Strong">
    <w:name w:val="Strong"/>
    <w:basedOn w:val="DefaultParagraphFont"/>
    <w:uiPriority w:val="22"/>
    <w:qFormat/>
    <w:rsid w:val="00981952"/>
    <w:rPr>
      <w:b/>
      <w:bCs/>
      <w:spacing w:val="0"/>
    </w:rPr>
  </w:style>
  <w:style w:type="character" w:styleId="CommentReference">
    <w:name w:val="annotation reference"/>
    <w:basedOn w:val="DefaultParagraphFont"/>
    <w:rsid w:val="00165268"/>
    <w:rPr>
      <w:sz w:val="16"/>
      <w:szCs w:val="16"/>
    </w:rPr>
  </w:style>
  <w:style w:type="paragraph" w:styleId="CommentText">
    <w:name w:val="annotation text"/>
    <w:basedOn w:val="Normal"/>
    <w:link w:val="CommentTextChar"/>
    <w:rsid w:val="00165268"/>
    <w:rPr>
      <w:sz w:val="20"/>
      <w:szCs w:val="20"/>
    </w:rPr>
  </w:style>
  <w:style w:type="character" w:customStyle="1" w:styleId="CommentTextChar">
    <w:name w:val="Comment Text Char"/>
    <w:basedOn w:val="DefaultParagraphFont"/>
    <w:link w:val="CommentText"/>
    <w:rsid w:val="00165268"/>
  </w:style>
  <w:style w:type="paragraph" w:styleId="CommentSubject">
    <w:name w:val="annotation subject"/>
    <w:basedOn w:val="CommentText"/>
    <w:next w:val="CommentText"/>
    <w:link w:val="CommentSubjectChar"/>
    <w:rsid w:val="00165268"/>
    <w:rPr>
      <w:b/>
      <w:bCs/>
    </w:rPr>
  </w:style>
  <w:style w:type="character" w:customStyle="1" w:styleId="CommentSubjectChar">
    <w:name w:val="Comment Subject Char"/>
    <w:basedOn w:val="CommentTextChar"/>
    <w:link w:val="CommentSubject"/>
    <w:rsid w:val="00165268"/>
    <w:rPr>
      <w:b/>
      <w:bCs/>
    </w:rPr>
  </w:style>
  <w:style w:type="paragraph" w:styleId="Caption">
    <w:name w:val="caption"/>
    <w:basedOn w:val="Normal"/>
    <w:next w:val="Normal"/>
    <w:uiPriority w:val="35"/>
    <w:semiHidden/>
    <w:unhideWhenUsed/>
    <w:qFormat/>
    <w:rsid w:val="00981952"/>
    <w:rPr>
      <w:b/>
      <w:bCs/>
      <w:sz w:val="18"/>
      <w:szCs w:val="18"/>
    </w:rPr>
  </w:style>
  <w:style w:type="character" w:styleId="Emphasis">
    <w:name w:val="Emphasis"/>
    <w:uiPriority w:val="20"/>
    <w:qFormat/>
    <w:rsid w:val="00981952"/>
    <w:rPr>
      <w:b/>
      <w:bCs/>
      <w:i/>
      <w:iCs/>
      <w:color w:val="5A5A5A"/>
    </w:rPr>
  </w:style>
  <w:style w:type="paragraph" w:styleId="NoSpacing">
    <w:name w:val="No Spacing"/>
    <w:basedOn w:val="Normal"/>
    <w:link w:val="NoSpacingChar"/>
    <w:uiPriority w:val="1"/>
    <w:qFormat/>
    <w:rsid w:val="00981952"/>
    <w:pPr>
      <w:ind w:firstLine="0"/>
    </w:pPr>
  </w:style>
  <w:style w:type="character" w:customStyle="1" w:styleId="NoSpacingChar">
    <w:name w:val="No Spacing Char"/>
    <w:basedOn w:val="DefaultParagraphFont"/>
    <w:link w:val="NoSpacing"/>
    <w:uiPriority w:val="1"/>
    <w:rsid w:val="00981952"/>
  </w:style>
  <w:style w:type="paragraph" w:styleId="ListParagraph">
    <w:name w:val="List Paragraph"/>
    <w:basedOn w:val="Normal"/>
    <w:uiPriority w:val="34"/>
    <w:qFormat/>
    <w:rsid w:val="00981952"/>
    <w:pPr>
      <w:ind w:left="720"/>
      <w:contextualSpacing/>
    </w:pPr>
  </w:style>
  <w:style w:type="paragraph" w:styleId="Quote">
    <w:name w:val="Quote"/>
    <w:basedOn w:val="Normal"/>
    <w:next w:val="Normal"/>
    <w:link w:val="QuoteChar"/>
    <w:uiPriority w:val="29"/>
    <w:qFormat/>
    <w:rsid w:val="00981952"/>
    <w:rPr>
      <w:rFonts w:ascii="Cambria" w:hAnsi="Cambria"/>
      <w:i/>
      <w:iCs/>
      <w:color w:val="5A5A5A"/>
    </w:rPr>
  </w:style>
  <w:style w:type="character" w:customStyle="1" w:styleId="QuoteChar">
    <w:name w:val="Quote Char"/>
    <w:basedOn w:val="DefaultParagraphFont"/>
    <w:link w:val="Quote"/>
    <w:uiPriority w:val="29"/>
    <w:rsid w:val="00981952"/>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98195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30"/>
    <w:rsid w:val="00981952"/>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981952"/>
    <w:rPr>
      <w:i/>
      <w:iCs/>
      <w:color w:val="5A5A5A"/>
    </w:rPr>
  </w:style>
  <w:style w:type="character" w:styleId="IntenseEmphasis">
    <w:name w:val="Intense Emphasis"/>
    <w:uiPriority w:val="21"/>
    <w:qFormat/>
    <w:rsid w:val="00981952"/>
    <w:rPr>
      <w:b/>
      <w:bCs/>
      <w:i/>
      <w:iCs/>
      <w:color w:val="4F81BD"/>
      <w:sz w:val="22"/>
      <w:szCs w:val="22"/>
    </w:rPr>
  </w:style>
  <w:style w:type="character" w:styleId="SubtleReference">
    <w:name w:val="Subtle Reference"/>
    <w:uiPriority w:val="31"/>
    <w:qFormat/>
    <w:rsid w:val="00981952"/>
    <w:rPr>
      <w:color w:val="auto"/>
      <w:u w:val="single" w:color="9BBB59"/>
    </w:rPr>
  </w:style>
  <w:style w:type="character" w:styleId="IntenseReference">
    <w:name w:val="Intense Reference"/>
    <w:basedOn w:val="DefaultParagraphFont"/>
    <w:uiPriority w:val="32"/>
    <w:qFormat/>
    <w:rsid w:val="00981952"/>
    <w:rPr>
      <w:b/>
      <w:bCs/>
      <w:color w:val="76923C"/>
      <w:u w:val="single" w:color="9BBB59"/>
    </w:rPr>
  </w:style>
  <w:style w:type="character" w:styleId="BookTitle">
    <w:name w:val="Book Title"/>
    <w:basedOn w:val="DefaultParagraphFont"/>
    <w:uiPriority w:val="33"/>
    <w:qFormat/>
    <w:rsid w:val="00981952"/>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981952"/>
    <w:pPr>
      <w:outlineLvl w:val="9"/>
    </w:pPr>
  </w:style>
  <w:style w:type="character" w:styleId="FollowedHyperlink">
    <w:name w:val="FollowedHyperlink"/>
    <w:basedOn w:val="DefaultParagraphFont"/>
    <w:uiPriority w:val="99"/>
    <w:rsid w:val="00174C3E"/>
    <w:rPr>
      <w:color w:val="800080"/>
      <w:u w:val="single"/>
    </w:rPr>
  </w:style>
  <w:style w:type="character" w:customStyle="1" w:styleId="apple-style-span">
    <w:name w:val="apple-style-span"/>
    <w:basedOn w:val="DefaultParagraphFont"/>
    <w:rsid w:val="00E446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952"/>
    <w:pPr>
      <w:ind w:firstLine="360"/>
    </w:pPr>
    <w:rPr>
      <w:sz w:val="22"/>
      <w:szCs w:val="22"/>
      <w:lang w:bidi="en-US"/>
    </w:rPr>
  </w:style>
  <w:style w:type="paragraph" w:styleId="Heading1">
    <w:name w:val="heading 1"/>
    <w:basedOn w:val="Normal"/>
    <w:next w:val="Normal"/>
    <w:link w:val="Heading1Char"/>
    <w:uiPriority w:val="9"/>
    <w:qFormat/>
    <w:rsid w:val="00981952"/>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981952"/>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981952"/>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981952"/>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981952"/>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981952"/>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981952"/>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981952"/>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981952"/>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952"/>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semiHidden/>
    <w:rsid w:val="00981952"/>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semiHidden/>
    <w:rsid w:val="00981952"/>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981952"/>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981952"/>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981952"/>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981952"/>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981952"/>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981952"/>
    <w:rPr>
      <w:rFonts w:ascii="Cambria" w:eastAsia="Times New Roman" w:hAnsi="Cambria" w:cs="Times New Roman"/>
      <w:i/>
      <w:iCs/>
      <w:color w:val="9BBB59"/>
      <w:sz w:val="20"/>
      <w:szCs w:val="20"/>
    </w:rPr>
  </w:style>
  <w:style w:type="paragraph" w:styleId="Header">
    <w:name w:val="header"/>
    <w:basedOn w:val="Normal"/>
    <w:rsid w:val="00054555"/>
    <w:pPr>
      <w:tabs>
        <w:tab w:val="center" w:pos="4320"/>
        <w:tab w:val="right" w:pos="8640"/>
      </w:tabs>
    </w:pPr>
  </w:style>
  <w:style w:type="paragraph" w:styleId="Footer">
    <w:name w:val="footer"/>
    <w:basedOn w:val="Normal"/>
    <w:link w:val="FooterChar"/>
    <w:uiPriority w:val="99"/>
    <w:rsid w:val="00054555"/>
    <w:pPr>
      <w:tabs>
        <w:tab w:val="center" w:pos="4320"/>
        <w:tab w:val="right" w:pos="8640"/>
      </w:tabs>
    </w:pPr>
  </w:style>
  <w:style w:type="character" w:customStyle="1" w:styleId="FooterChar">
    <w:name w:val="Footer Char"/>
    <w:basedOn w:val="DefaultParagraphFont"/>
    <w:link w:val="Footer"/>
    <w:uiPriority w:val="99"/>
    <w:rsid w:val="00E87478"/>
  </w:style>
  <w:style w:type="character" w:styleId="PageNumber">
    <w:name w:val="page number"/>
    <w:basedOn w:val="DefaultParagraphFont"/>
    <w:rsid w:val="00212F52"/>
  </w:style>
  <w:style w:type="character" w:styleId="Hyperlink">
    <w:name w:val="Hyperlink"/>
    <w:basedOn w:val="DefaultParagraphFont"/>
    <w:uiPriority w:val="99"/>
    <w:rsid w:val="005B0E57"/>
    <w:rPr>
      <w:color w:val="0000FF"/>
      <w:u w:val="single"/>
    </w:rPr>
  </w:style>
  <w:style w:type="paragraph" w:styleId="BalloonText">
    <w:name w:val="Balloon Text"/>
    <w:basedOn w:val="Normal"/>
    <w:semiHidden/>
    <w:rsid w:val="006A7D36"/>
    <w:rPr>
      <w:rFonts w:ascii="Tahoma" w:hAnsi="Tahoma" w:cs="Tahoma"/>
      <w:sz w:val="16"/>
      <w:szCs w:val="16"/>
    </w:rPr>
  </w:style>
  <w:style w:type="paragraph" w:styleId="Title">
    <w:name w:val="Title"/>
    <w:basedOn w:val="Normal"/>
    <w:next w:val="Normal"/>
    <w:link w:val="TitleChar"/>
    <w:uiPriority w:val="10"/>
    <w:qFormat/>
    <w:rsid w:val="00981952"/>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10"/>
    <w:rsid w:val="00981952"/>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981952"/>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81952"/>
    <w:rPr>
      <w:rFonts w:ascii="Calibri"/>
      <w:i/>
      <w:iCs/>
      <w:sz w:val="24"/>
      <w:szCs w:val="24"/>
    </w:rPr>
  </w:style>
  <w:style w:type="character" w:styleId="Strong">
    <w:name w:val="Strong"/>
    <w:basedOn w:val="DefaultParagraphFont"/>
    <w:uiPriority w:val="22"/>
    <w:qFormat/>
    <w:rsid w:val="00981952"/>
    <w:rPr>
      <w:b/>
      <w:bCs/>
      <w:spacing w:val="0"/>
    </w:rPr>
  </w:style>
  <w:style w:type="character" w:styleId="CommentReference">
    <w:name w:val="annotation reference"/>
    <w:basedOn w:val="DefaultParagraphFont"/>
    <w:rsid w:val="00165268"/>
    <w:rPr>
      <w:sz w:val="16"/>
      <w:szCs w:val="16"/>
    </w:rPr>
  </w:style>
  <w:style w:type="paragraph" w:styleId="CommentText">
    <w:name w:val="annotation text"/>
    <w:basedOn w:val="Normal"/>
    <w:link w:val="CommentTextChar"/>
    <w:rsid w:val="00165268"/>
    <w:rPr>
      <w:sz w:val="20"/>
      <w:szCs w:val="20"/>
    </w:rPr>
  </w:style>
  <w:style w:type="character" w:customStyle="1" w:styleId="CommentTextChar">
    <w:name w:val="Comment Text Char"/>
    <w:basedOn w:val="DefaultParagraphFont"/>
    <w:link w:val="CommentText"/>
    <w:rsid w:val="00165268"/>
  </w:style>
  <w:style w:type="paragraph" w:styleId="CommentSubject">
    <w:name w:val="annotation subject"/>
    <w:basedOn w:val="CommentText"/>
    <w:next w:val="CommentText"/>
    <w:link w:val="CommentSubjectChar"/>
    <w:rsid w:val="00165268"/>
    <w:rPr>
      <w:b/>
      <w:bCs/>
    </w:rPr>
  </w:style>
  <w:style w:type="character" w:customStyle="1" w:styleId="CommentSubjectChar">
    <w:name w:val="Comment Subject Char"/>
    <w:basedOn w:val="CommentTextChar"/>
    <w:link w:val="CommentSubject"/>
    <w:rsid w:val="00165268"/>
    <w:rPr>
      <w:b/>
      <w:bCs/>
    </w:rPr>
  </w:style>
  <w:style w:type="paragraph" w:styleId="Caption">
    <w:name w:val="caption"/>
    <w:basedOn w:val="Normal"/>
    <w:next w:val="Normal"/>
    <w:uiPriority w:val="35"/>
    <w:semiHidden/>
    <w:unhideWhenUsed/>
    <w:qFormat/>
    <w:rsid w:val="00981952"/>
    <w:rPr>
      <w:b/>
      <w:bCs/>
      <w:sz w:val="18"/>
      <w:szCs w:val="18"/>
    </w:rPr>
  </w:style>
  <w:style w:type="character" w:styleId="Emphasis">
    <w:name w:val="Emphasis"/>
    <w:uiPriority w:val="20"/>
    <w:qFormat/>
    <w:rsid w:val="00981952"/>
    <w:rPr>
      <w:b/>
      <w:bCs/>
      <w:i/>
      <w:iCs/>
      <w:color w:val="5A5A5A"/>
    </w:rPr>
  </w:style>
  <w:style w:type="paragraph" w:styleId="NoSpacing">
    <w:name w:val="No Spacing"/>
    <w:basedOn w:val="Normal"/>
    <w:link w:val="NoSpacingChar"/>
    <w:uiPriority w:val="1"/>
    <w:qFormat/>
    <w:rsid w:val="00981952"/>
    <w:pPr>
      <w:ind w:firstLine="0"/>
    </w:pPr>
  </w:style>
  <w:style w:type="character" w:customStyle="1" w:styleId="NoSpacingChar">
    <w:name w:val="No Spacing Char"/>
    <w:basedOn w:val="DefaultParagraphFont"/>
    <w:link w:val="NoSpacing"/>
    <w:uiPriority w:val="1"/>
    <w:rsid w:val="00981952"/>
  </w:style>
  <w:style w:type="paragraph" w:styleId="ListParagraph">
    <w:name w:val="List Paragraph"/>
    <w:basedOn w:val="Normal"/>
    <w:uiPriority w:val="34"/>
    <w:qFormat/>
    <w:rsid w:val="00981952"/>
    <w:pPr>
      <w:ind w:left="720"/>
      <w:contextualSpacing/>
    </w:pPr>
  </w:style>
  <w:style w:type="paragraph" w:styleId="Quote">
    <w:name w:val="Quote"/>
    <w:basedOn w:val="Normal"/>
    <w:next w:val="Normal"/>
    <w:link w:val="QuoteChar"/>
    <w:uiPriority w:val="29"/>
    <w:qFormat/>
    <w:rsid w:val="00981952"/>
    <w:rPr>
      <w:rFonts w:ascii="Cambria" w:hAnsi="Cambria"/>
      <w:i/>
      <w:iCs/>
      <w:color w:val="5A5A5A"/>
    </w:rPr>
  </w:style>
  <w:style w:type="character" w:customStyle="1" w:styleId="QuoteChar">
    <w:name w:val="Quote Char"/>
    <w:basedOn w:val="DefaultParagraphFont"/>
    <w:link w:val="Quote"/>
    <w:uiPriority w:val="29"/>
    <w:rsid w:val="00981952"/>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98195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30"/>
    <w:rsid w:val="00981952"/>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981952"/>
    <w:rPr>
      <w:i/>
      <w:iCs/>
      <w:color w:val="5A5A5A"/>
    </w:rPr>
  </w:style>
  <w:style w:type="character" w:styleId="IntenseEmphasis">
    <w:name w:val="Intense Emphasis"/>
    <w:uiPriority w:val="21"/>
    <w:qFormat/>
    <w:rsid w:val="00981952"/>
    <w:rPr>
      <w:b/>
      <w:bCs/>
      <w:i/>
      <w:iCs/>
      <w:color w:val="4F81BD"/>
      <w:sz w:val="22"/>
      <w:szCs w:val="22"/>
    </w:rPr>
  </w:style>
  <w:style w:type="character" w:styleId="SubtleReference">
    <w:name w:val="Subtle Reference"/>
    <w:uiPriority w:val="31"/>
    <w:qFormat/>
    <w:rsid w:val="00981952"/>
    <w:rPr>
      <w:color w:val="auto"/>
      <w:u w:val="single" w:color="9BBB59"/>
    </w:rPr>
  </w:style>
  <w:style w:type="character" w:styleId="IntenseReference">
    <w:name w:val="Intense Reference"/>
    <w:basedOn w:val="DefaultParagraphFont"/>
    <w:uiPriority w:val="32"/>
    <w:qFormat/>
    <w:rsid w:val="00981952"/>
    <w:rPr>
      <w:b/>
      <w:bCs/>
      <w:color w:val="76923C"/>
      <w:u w:val="single" w:color="9BBB59"/>
    </w:rPr>
  </w:style>
  <w:style w:type="character" w:styleId="BookTitle">
    <w:name w:val="Book Title"/>
    <w:basedOn w:val="DefaultParagraphFont"/>
    <w:uiPriority w:val="33"/>
    <w:qFormat/>
    <w:rsid w:val="00981952"/>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981952"/>
    <w:pPr>
      <w:outlineLvl w:val="9"/>
    </w:pPr>
  </w:style>
  <w:style w:type="character" w:styleId="FollowedHyperlink">
    <w:name w:val="FollowedHyperlink"/>
    <w:basedOn w:val="DefaultParagraphFont"/>
    <w:uiPriority w:val="99"/>
    <w:rsid w:val="00174C3E"/>
    <w:rPr>
      <w:color w:val="800080"/>
      <w:u w:val="single"/>
    </w:rPr>
  </w:style>
  <w:style w:type="character" w:customStyle="1" w:styleId="apple-style-span">
    <w:name w:val="apple-style-span"/>
    <w:basedOn w:val="DefaultParagraphFont"/>
    <w:rsid w:val="00E44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7569">
      <w:bodyDiv w:val="1"/>
      <w:marLeft w:val="0"/>
      <w:marRight w:val="0"/>
      <w:marTop w:val="0"/>
      <w:marBottom w:val="0"/>
      <w:divBdr>
        <w:top w:val="none" w:sz="0" w:space="0" w:color="auto"/>
        <w:left w:val="none" w:sz="0" w:space="0" w:color="auto"/>
        <w:bottom w:val="none" w:sz="0" w:space="0" w:color="auto"/>
        <w:right w:val="none" w:sz="0" w:space="0" w:color="auto"/>
      </w:divBdr>
    </w:div>
    <w:div w:id="94450482">
      <w:bodyDiv w:val="1"/>
      <w:marLeft w:val="0"/>
      <w:marRight w:val="0"/>
      <w:marTop w:val="0"/>
      <w:marBottom w:val="0"/>
      <w:divBdr>
        <w:top w:val="none" w:sz="0" w:space="0" w:color="auto"/>
        <w:left w:val="none" w:sz="0" w:space="0" w:color="auto"/>
        <w:bottom w:val="none" w:sz="0" w:space="0" w:color="auto"/>
        <w:right w:val="none" w:sz="0" w:space="0" w:color="auto"/>
      </w:divBdr>
    </w:div>
    <w:div w:id="115756745">
      <w:bodyDiv w:val="1"/>
      <w:marLeft w:val="0"/>
      <w:marRight w:val="0"/>
      <w:marTop w:val="0"/>
      <w:marBottom w:val="0"/>
      <w:divBdr>
        <w:top w:val="none" w:sz="0" w:space="0" w:color="auto"/>
        <w:left w:val="none" w:sz="0" w:space="0" w:color="auto"/>
        <w:bottom w:val="none" w:sz="0" w:space="0" w:color="auto"/>
        <w:right w:val="none" w:sz="0" w:space="0" w:color="auto"/>
      </w:divBdr>
    </w:div>
    <w:div w:id="239101142">
      <w:bodyDiv w:val="1"/>
      <w:marLeft w:val="0"/>
      <w:marRight w:val="0"/>
      <w:marTop w:val="0"/>
      <w:marBottom w:val="0"/>
      <w:divBdr>
        <w:top w:val="none" w:sz="0" w:space="0" w:color="auto"/>
        <w:left w:val="none" w:sz="0" w:space="0" w:color="auto"/>
        <w:bottom w:val="none" w:sz="0" w:space="0" w:color="auto"/>
        <w:right w:val="none" w:sz="0" w:space="0" w:color="auto"/>
      </w:divBdr>
    </w:div>
    <w:div w:id="269093368">
      <w:bodyDiv w:val="1"/>
      <w:marLeft w:val="0"/>
      <w:marRight w:val="0"/>
      <w:marTop w:val="0"/>
      <w:marBottom w:val="0"/>
      <w:divBdr>
        <w:top w:val="none" w:sz="0" w:space="0" w:color="auto"/>
        <w:left w:val="none" w:sz="0" w:space="0" w:color="auto"/>
        <w:bottom w:val="none" w:sz="0" w:space="0" w:color="auto"/>
        <w:right w:val="none" w:sz="0" w:space="0" w:color="auto"/>
      </w:divBdr>
    </w:div>
    <w:div w:id="305361172">
      <w:bodyDiv w:val="1"/>
      <w:marLeft w:val="0"/>
      <w:marRight w:val="0"/>
      <w:marTop w:val="0"/>
      <w:marBottom w:val="0"/>
      <w:divBdr>
        <w:top w:val="none" w:sz="0" w:space="0" w:color="auto"/>
        <w:left w:val="none" w:sz="0" w:space="0" w:color="auto"/>
        <w:bottom w:val="none" w:sz="0" w:space="0" w:color="auto"/>
        <w:right w:val="none" w:sz="0" w:space="0" w:color="auto"/>
      </w:divBdr>
    </w:div>
    <w:div w:id="603734107">
      <w:bodyDiv w:val="1"/>
      <w:marLeft w:val="0"/>
      <w:marRight w:val="0"/>
      <w:marTop w:val="0"/>
      <w:marBottom w:val="0"/>
      <w:divBdr>
        <w:top w:val="none" w:sz="0" w:space="0" w:color="auto"/>
        <w:left w:val="none" w:sz="0" w:space="0" w:color="auto"/>
        <w:bottom w:val="none" w:sz="0" w:space="0" w:color="auto"/>
        <w:right w:val="none" w:sz="0" w:space="0" w:color="auto"/>
      </w:divBdr>
    </w:div>
    <w:div w:id="656108044">
      <w:bodyDiv w:val="1"/>
      <w:marLeft w:val="0"/>
      <w:marRight w:val="0"/>
      <w:marTop w:val="0"/>
      <w:marBottom w:val="0"/>
      <w:divBdr>
        <w:top w:val="none" w:sz="0" w:space="0" w:color="auto"/>
        <w:left w:val="none" w:sz="0" w:space="0" w:color="auto"/>
        <w:bottom w:val="none" w:sz="0" w:space="0" w:color="auto"/>
        <w:right w:val="none" w:sz="0" w:space="0" w:color="auto"/>
      </w:divBdr>
    </w:div>
    <w:div w:id="670720188">
      <w:bodyDiv w:val="1"/>
      <w:marLeft w:val="0"/>
      <w:marRight w:val="0"/>
      <w:marTop w:val="0"/>
      <w:marBottom w:val="0"/>
      <w:divBdr>
        <w:top w:val="none" w:sz="0" w:space="0" w:color="auto"/>
        <w:left w:val="none" w:sz="0" w:space="0" w:color="auto"/>
        <w:bottom w:val="none" w:sz="0" w:space="0" w:color="auto"/>
        <w:right w:val="none" w:sz="0" w:space="0" w:color="auto"/>
      </w:divBdr>
    </w:div>
    <w:div w:id="710305699">
      <w:bodyDiv w:val="1"/>
      <w:marLeft w:val="0"/>
      <w:marRight w:val="0"/>
      <w:marTop w:val="0"/>
      <w:marBottom w:val="0"/>
      <w:divBdr>
        <w:top w:val="none" w:sz="0" w:space="0" w:color="auto"/>
        <w:left w:val="none" w:sz="0" w:space="0" w:color="auto"/>
        <w:bottom w:val="none" w:sz="0" w:space="0" w:color="auto"/>
        <w:right w:val="none" w:sz="0" w:space="0" w:color="auto"/>
      </w:divBdr>
    </w:div>
    <w:div w:id="768354233">
      <w:bodyDiv w:val="1"/>
      <w:marLeft w:val="0"/>
      <w:marRight w:val="0"/>
      <w:marTop w:val="0"/>
      <w:marBottom w:val="0"/>
      <w:divBdr>
        <w:top w:val="none" w:sz="0" w:space="0" w:color="auto"/>
        <w:left w:val="none" w:sz="0" w:space="0" w:color="auto"/>
        <w:bottom w:val="none" w:sz="0" w:space="0" w:color="auto"/>
        <w:right w:val="none" w:sz="0" w:space="0" w:color="auto"/>
      </w:divBdr>
    </w:div>
    <w:div w:id="1087968286">
      <w:bodyDiv w:val="1"/>
      <w:marLeft w:val="0"/>
      <w:marRight w:val="0"/>
      <w:marTop w:val="0"/>
      <w:marBottom w:val="0"/>
      <w:divBdr>
        <w:top w:val="none" w:sz="0" w:space="0" w:color="auto"/>
        <w:left w:val="none" w:sz="0" w:space="0" w:color="auto"/>
        <w:bottom w:val="none" w:sz="0" w:space="0" w:color="auto"/>
        <w:right w:val="none" w:sz="0" w:space="0" w:color="auto"/>
      </w:divBdr>
    </w:div>
    <w:div w:id="1954895393">
      <w:bodyDiv w:val="1"/>
      <w:marLeft w:val="0"/>
      <w:marRight w:val="0"/>
      <w:marTop w:val="0"/>
      <w:marBottom w:val="0"/>
      <w:divBdr>
        <w:top w:val="none" w:sz="0" w:space="0" w:color="auto"/>
        <w:left w:val="none" w:sz="0" w:space="0" w:color="auto"/>
        <w:bottom w:val="none" w:sz="0" w:space="0" w:color="auto"/>
        <w:right w:val="none" w:sz="0" w:space="0" w:color="auto"/>
      </w:divBdr>
    </w:div>
    <w:div w:id="2035113341">
      <w:bodyDiv w:val="1"/>
      <w:marLeft w:val="0"/>
      <w:marRight w:val="0"/>
      <w:marTop w:val="0"/>
      <w:marBottom w:val="0"/>
      <w:divBdr>
        <w:top w:val="none" w:sz="0" w:space="0" w:color="auto"/>
        <w:left w:val="none" w:sz="0" w:space="0" w:color="auto"/>
        <w:bottom w:val="none" w:sz="0" w:space="0" w:color="auto"/>
        <w:right w:val="none" w:sz="0" w:space="0" w:color="auto"/>
      </w:divBdr>
    </w:div>
    <w:div w:id="2099868718">
      <w:bodyDiv w:val="1"/>
      <w:marLeft w:val="0"/>
      <w:marRight w:val="0"/>
      <w:marTop w:val="0"/>
      <w:marBottom w:val="0"/>
      <w:divBdr>
        <w:top w:val="none" w:sz="0" w:space="0" w:color="auto"/>
        <w:left w:val="none" w:sz="0" w:space="0" w:color="auto"/>
        <w:bottom w:val="none" w:sz="0" w:space="0" w:color="auto"/>
        <w:right w:val="none" w:sz="0" w:space="0" w:color="auto"/>
      </w:divBdr>
    </w:div>
    <w:div w:id="211670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www.uaf.edu/pair/uaf-factbook"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hyperlink" Target="http://www.uaf.edu/pair/uaf-factbook"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4.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Enrollment: Student Credit Hours </a:t>
            </a:r>
          </a:p>
          <a:p>
            <a:pPr>
              <a:defRPr sz="1400"/>
            </a:pPr>
            <a:r>
              <a:rPr lang="en-US" sz="1400"/>
              <a:t>in e-Learning Courses by Level</a:t>
            </a:r>
          </a:p>
        </c:rich>
      </c:tx>
      <c:layout/>
      <c:overlay val="0"/>
    </c:title>
    <c:autoTitleDeleted val="0"/>
    <c:plotArea>
      <c:layout/>
      <c:barChart>
        <c:barDir val="col"/>
        <c:grouping val="stacked"/>
        <c:varyColors val="0"/>
        <c:ser>
          <c:idx val="0"/>
          <c:order val="0"/>
          <c:tx>
            <c:strRef>
              <c:f>Sheet1!$B$6</c:f>
              <c:strCache>
                <c:ptCount val="1"/>
                <c:pt idx="0">
                  <c:v>College Preparatory</c:v>
                </c:pt>
              </c:strCache>
            </c:strRef>
          </c:tx>
          <c:spPr>
            <a:solidFill>
              <a:schemeClr val="tx2">
                <a:lumMod val="75000"/>
              </a:schemeClr>
            </a:solidFill>
            <a:ln>
              <a:solidFill>
                <a:schemeClr val="tx2">
                  <a:lumMod val="75000"/>
                </a:schemeClr>
              </a:solidFill>
            </a:ln>
          </c:spPr>
          <c:invertIfNegative val="0"/>
          <c:cat>
            <c:numRef>
              <c:f>Sheet1!$C$5:$G$5</c:f>
              <c:numCache>
                <c:formatCode>General</c:formatCode>
                <c:ptCount val="5"/>
                <c:pt idx="0">
                  <c:v>2007</c:v>
                </c:pt>
                <c:pt idx="1">
                  <c:v>2008</c:v>
                </c:pt>
                <c:pt idx="2">
                  <c:v>2009</c:v>
                </c:pt>
                <c:pt idx="3">
                  <c:v>2010</c:v>
                </c:pt>
                <c:pt idx="4">
                  <c:v>2011</c:v>
                </c:pt>
              </c:numCache>
            </c:numRef>
          </c:cat>
          <c:val>
            <c:numRef>
              <c:f>Sheet1!$C$6:$G$6</c:f>
              <c:numCache>
                <c:formatCode>_(* #,##0.0_);_(* \(#,##0.0\);_(* "-"??_);_(@_)</c:formatCode>
                <c:ptCount val="5"/>
                <c:pt idx="0">
                  <c:v>117</c:v>
                </c:pt>
                <c:pt idx="1">
                  <c:v>120</c:v>
                </c:pt>
                <c:pt idx="2">
                  <c:v>261</c:v>
                </c:pt>
                <c:pt idx="3">
                  <c:v>375</c:v>
                </c:pt>
                <c:pt idx="4">
                  <c:v>678</c:v>
                </c:pt>
              </c:numCache>
            </c:numRef>
          </c:val>
        </c:ser>
        <c:ser>
          <c:idx val="1"/>
          <c:order val="1"/>
          <c:tx>
            <c:strRef>
              <c:f>Sheet1!$B$7</c:f>
              <c:strCache>
                <c:ptCount val="1"/>
                <c:pt idx="0">
                  <c:v>Lower Division</c:v>
                </c:pt>
              </c:strCache>
            </c:strRef>
          </c:tx>
          <c:spPr>
            <a:solidFill>
              <a:schemeClr val="tx2">
                <a:lumMod val="60000"/>
                <a:lumOff val="40000"/>
              </a:schemeClr>
            </a:solidFill>
            <a:ln>
              <a:solidFill>
                <a:schemeClr val="tx2">
                  <a:lumMod val="75000"/>
                </a:schemeClr>
              </a:solidFill>
            </a:ln>
          </c:spPr>
          <c:invertIfNegative val="0"/>
          <c:cat>
            <c:numRef>
              <c:f>Sheet1!$C$5:$G$5</c:f>
              <c:numCache>
                <c:formatCode>General</c:formatCode>
                <c:ptCount val="5"/>
                <c:pt idx="0">
                  <c:v>2007</c:v>
                </c:pt>
                <c:pt idx="1">
                  <c:v>2008</c:v>
                </c:pt>
                <c:pt idx="2">
                  <c:v>2009</c:v>
                </c:pt>
                <c:pt idx="3">
                  <c:v>2010</c:v>
                </c:pt>
                <c:pt idx="4">
                  <c:v>2011</c:v>
                </c:pt>
              </c:numCache>
            </c:numRef>
          </c:cat>
          <c:val>
            <c:numRef>
              <c:f>Sheet1!$C$7:$G$7</c:f>
              <c:numCache>
                <c:formatCode>_(* #,##0.0_);_(* \(#,##0.0\);_(* "-"??_);_(@_)</c:formatCode>
                <c:ptCount val="5"/>
                <c:pt idx="0">
                  <c:v>5131</c:v>
                </c:pt>
                <c:pt idx="1">
                  <c:v>6125</c:v>
                </c:pt>
                <c:pt idx="2">
                  <c:v>8816</c:v>
                </c:pt>
                <c:pt idx="3">
                  <c:v>10677.5</c:v>
                </c:pt>
                <c:pt idx="4">
                  <c:v>13885.5</c:v>
                </c:pt>
              </c:numCache>
            </c:numRef>
          </c:val>
        </c:ser>
        <c:ser>
          <c:idx val="2"/>
          <c:order val="2"/>
          <c:tx>
            <c:strRef>
              <c:f>Sheet1!$B$8</c:f>
              <c:strCache>
                <c:ptCount val="1"/>
                <c:pt idx="0">
                  <c:v>Upper Division</c:v>
                </c:pt>
              </c:strCache>
            </c:strRef>
          </c:tx>
          <c:spPr>
            <a:solidFill>
              <a:schemeClr val="tx2">
                <a:lumMod val="40000"/>
                <a:lumOff val="60000"/>
              </a:schemeClr>
            </a:solidFill>
            <a:ln>
              <a:solidFill>
                <a:schemeClr val="tx2">
                  <a:lumMod val="75000"/>
                </a:schemeClr>
              </a:solidFill>
            </a:ln>
          </c:spPr>
          <c:invertIfNegative val="0"/>
          <c:cat>
            <c:numRef>
              <c:f>Sheet1!$C$5:$G$5</c:f>
              <c:numCache>
                <c:formatCode>General</c:formatCode>
                <c:ptCount val="5"/>
                <c:pt idx="0">
                  <c:v>2007</c:v>
                </c:pt>
                <c:pt idx="1">
                  <c:v>2008</c:v>
                </c:pt>
                <c:pt idx="2">
                  <c:v>2009</c:v>
                </c:pt>
                <c:pt idx="3">
                  <c:v>2010</c:v>
                </c:pt>
                <c:pt idx="4">
                  <c:v>2011</c:v>
                </c:pt>
              </c:numCache>
            </c:numRef>
          </c:cat>
          <c:val>
            <c:numRef>
              <c:f>Sheet1!$C$8:$G$8</c:f>
              <c:numCache>
                <c:formatCode>_(* #,##0.0_);_(* \(#,##0.0\);_(* "-"??_);_(@_)</c:formatCode>
                <c:ptCount val="5"/>
                <c:pt idx="0">
                  <c:v>2079</c:v>
                </c:pt>
                <c:pt idx="1">
                  <c:v>2755</c:v>
                </c:pt>
                <c:pt idx="2">
                  <c:v>3378</c:v>
                </c:pt>
                <c:pt idx="3">
                  <c:v>4172</c:v>
                </c:pt>
                <c:pt idx="4">
                  <c:v>4596</c:v>
                </c:pt>
              </c:numCache>
            </c:numRef>
          </c:val>
        </c:ser>
        <c:ser>
          <c:idx val="3"/>
          <c:order val="3"/>
          <c:tx>
            <c:strRef>
              <c:f>Sheet1!$B$9</c:f>
              <c:strCache>
                <c:ptCount val="1"/>
                <c:pt idx="0">
                  <c:v>Graduate</c:v>
                </c:pt>
              </c:strCache>
            </c:strRef>
          </c:tx>
          <c:spPr>
            <a:solidFill>
              <a:schemeClr val="tx2">
                <a:lumMod val="20000"/>
                <a:lumOff val="80000"/>
              </a:schemeClr>
            </a:solidFill>
            <a:ln>
              <a:solidFill>
                <a:schemeClr val="tx2">
                  <a:lumMod val="75000"/>
                </a:schemeClr>
              </a:solidFill>
            </a:ln>
          </c:spPr>
          <c:invertIfNegative val="0"/>
          <c:cat>
            <c:numRef>
              <c:f>Sheet1!$C$5:$G$5</c:f>
              <c:numCache>
                <c:formatCode>General</c:formatCode>
                <c:ptCount val="5"/>
                <c:pt idx="0">
                  <c:v>2007</c:v>
                </c:pt>
                <c:pt idx="1">
                  <c:v>2008</c:v>
                </c:pt>
                <c:pt idx="2">
                  <c:v>2009</c:v>
                </c:pt>
                <c:pt idx="3">
                  <c:v>2010</c:v>
                </c:pt>
                <c:pt idx="4">
                  <c:v>2011</c:v>
                </c:pt>
              </c:numCache>
            </c:numRef>
          </c:cat>
          <c:val>
            <c:numRef>
              <c:f>Sheet1!$C$9:$G$9</c:f>
              <c:numCache>
                <c:formatCode>_(* #,##0.0_);_(* \(#,##0.0\);_(* "-"??_);_(@_)</c:formatCode>
                <c:ptCount val="5"/>
                <c:pt idx="0">
                  <c:v>213</c:v>
                </c:pt>
                <c:pt idx="1">
                  <c:v>252</c:v>
                </c:pt>
                <c:pt idx="2">
                  <c:v>210</c:v>
                </c:pt>
                <c:pt idx="3">
                  <c:v>575</c:v>
                </c:pt>
                <c:pt idx="4">
                  <c:v>1086</c:v>
                </c:pt>
              </c:numCache>
            </c:numRef>
          </c:val>
        </c:ser>
        <c:dLbls>
          <c:showLegendKey val="0"/>
          <c:showVal val="0"/>
          <c:showCatName val="0"/>
          <c:showSerName val="0"/>
          <c:showPercent val="0"/>
          <c:showBubbleSize val="0"/>
        </c:dLbls>
        <c:gapWidth val="55"/>
        <c:overlap val="100"/>
        <c:axId val="173861888"/>
        <c:axId val="171349120"/>
      </c:barChart>
      <c:catAx>
        <c:axId val="173861888"/>
        <c:scaling>
          <c:orientation val="minMax"/>
        </c:scaling>
        <c:delete val="0"/>
        <c:axPos val="b"/>
        <c:title>
          <c:tx>
            <c:rich>
              <a:bodyPr/>
              <a:lstStyle/>
              <a:p>
                <a:pPr>
                  <a:defRPr/>
                </a:pPr>
                <a:r>
                  <a:rPr lang="en-US"/>
                  <a:t>Fiscal Year</a:t>
                </a:r>
              </a:p>
            </c:rich>
          </c:tx>
          <c:layout/>
          <c:overlay val="0"/>
        </c:title>
        <c:numFmt formatCode="General" sourceLinked="1"/>
        <c:majorTickMark val="none"/>
        <c:minorTickMark val="none"/>
        <c:tickLblPos val="nextTo"/>
        <c:crossAx val="171349120"/>
        <c:crosses val="autoZero"/>
        <c:auto val="1"/>
        <c:lblAlgn val="ctr"/>
        <c:lblOffset val="100"/>
        <c:noMultiLvlLbl val="0"/>
      </c:catAx>
      <c:valAx>
        <c:axId val="171349120"/>
        <c:scaling>
          <c:orientation val="minMax"/>
        </c:scaling>
        <c:delete val="0"/>
        <c:axPos val="l"/>
        <c:majorGridlines>
          <c:spPr>
            <a:ln>
              <a:solidFill>
                <a:schemeClr val="bg1">
                  <a:lumMod val="50000"/>
                </a:schemeClr>
              </a:solidFill>
            </a:ln>
          </c:spPr>
        </c:majorGridlines>
        <c:title>
          <c:tx>
            <c:rich>
              <a:bodyPr/>
              <a:lstStyle/>
              <a:p>
                <a:pPr>
                  <a:defRPr/>
                </a:pPr>
                <a:r>
                  <a:rPr lang="en-US"/>
                  <a:t>Student Credit Hours</a:t>
                </a:r>
              </a:p>
            </c:rich>
          </c:tx>
          <c:layout/>
          <c:overlay val="0"/>
        </c:title>
        <c:numFmt formatCode="_(* #,##0.0_);_(* \(#,##0.0\);_(* &quot;-&quot;??_);_(@_)" sourceLinked="1"/>
        <c:majorTickMark val="none"/>
        <c:minorTickMark val="none"/>
        <c:tickLblPos val="nextTo"/>
        <c:crossAx val="173861888"/>
        <c:crosses val="autoZero"/>
        <c:crossBetween val="between"/>
      </c:valAx>
      <c:spPr>
        <a:ln>
          <a:solidFill>
            <a:schemeClr val="bg1">
              <a:lumMod val="50000"/>
            </a:schemeClr>
          </a:solidFill>
        </a:ln>
      </c:spPr>
    </c:plotArea>
    <c:legend>
      <c:legendPos val="r"/>
      <c:layout/>
      <c:overlay val="0"/>
    </c:legend>
    <c:plotVisOnly val="1"/>
    <c:dispBlanksAs val="gap"/>
    <c:showDLblsOverMax val="0"/>
  </c:chart>
  <c:spPr>
    <a:ln cap="rnd">
      <a:solidFill>
        <a:srgbClr val="0808E6"/>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400"/>
            </a:pPr>
            <a:r>
              <a:rPr lang="en-US" sz="1400"/>
              <a:t>Percentage of Students Taking at Least One Distance Course</a:t>
            </a:r>
          </a:p>
        </c:rich>
      </c:tx>
      <c:overlay val="0"/>
    </c:title>
    <c:autoTitleDeleted val="0"/>
    <c:plotArea>
      <c:layout/>
      <c:lineChart>
        <c:grouping val="standard"/>
        <c:varyColors val="0"/>
        <c:ser>
          <c:idx val="1"/>
          <c:order val="0"/>
          <c:tx>
            <c:v>% of students enrolled in an online course</c:v>
          </c:tx>
          <c:marker>
            <c:symbol val="none"/>
          </c:marker>
          <c:dPt>
            <c:idx val="5"/>
            <c:bubble3D val="0"/>
            <c:spPr/>
          </c:dPt>
          <c:cat>
            <c:numRef>
              <c:f>Sheet1!$A$4:$A$13</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Sheet1!$H$4:$H$13</c:f>
              <c:numCache>
                <c:formatCode>0%</c:formatCode>
                <c:ptCount val="10"/>
                <c:pt idx="0">
                  <c:v>2.6725804617309223E-2</c:v>
                </c:pt>
                <c:pt idx="1">
                  <c:v>4.8842663403691242E-2</c:v>
                </c:pt>
                <c:pt idx="2">
                  <c:v>5.7555288239104281E-2</c:v>
                </c:pt>
                <c:pt idx="3">
                  <c:v>8.1548929357614569E-2</c:v>
                </c:pt>
                <c:pt idx="4">
                  <c:v>9.1657119050098948E-2</c:v>
                </c:pt>
                <c:pt idx="5">
                  <c:v>9.6580931721929553E-2</c:v>
                </c:pt>
                <c:pt idx="6">
                  <c:v>0.10797976669763601</c:v>
                </c:pt>
                <c:pt idx="7">
                  <c:v>0.13420838420838421</c:v>
                </c:pt>
                <c:pt idx="8">
                  <c:v>0.14579743442466014</c:v>
                </c:pt>
                <c:pt idx="9">
                  <c:v>0.18252673554468007</c:v>
                </c:pt>
              </c:numCache>
            </c:numRef>
          </c:val>
          <c:smooth val="0"/>
        </c:ser>
        <c:ser>
          <c:idx val="0"/>
          <c:order val="1"/>
          <c:tx>
            <c:v>% of students enrolled in a distance course</c:v>
          </c:tx>
          <c:marker>
            <c:symbol val="none"/>
          </c:marker>
          <c:cat>
            <c:numRef>
              <c:f>Sheet1!$A$4:$A$13</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Sheet1!$E$4:$E$13</c:f>
              <c:numCache>
                <c:formatCode>0%</c:formatCode>
                <c:ptCount val="10"/>
                <c:pt idx="0">
                  <c:v>0.19811213465256455</c:v>
                </c:pt>
                <c:pt idx="1">
                  <c:v>0.20281431630468033</c:v>
                </c:pt>
                <c:pt idx="2">
                  <c:v>0.20570000925326176</c:v>
                </c:pt>
                <c:pt idx="3">
                  <c:v>0.23053832299379629</c:v>
                </c:pt>
                <c:pt idx="4">
                  <c:v>0.23403812102905946</c:v>
                </c:pt>
                <c:pt idx="5">
                  <c:v>0.2207416589195331</c:v>
                </c:pt>
                <c:pt idx="6">
                  <c:v>0.22194693919686179</c:v>
                </c:pt>
                <c:pt idx="7">
                  <c:v>0.24521774521774523</c:v>
                </c:pt>
                <c:pt idx="8">
                  <c:v>0.27206586253111237</c:v>
                </c:pt>
                <c:pt idx="9">
                  <c:v>0.30152256661228927</c:v>
                </c:pt>
              </c:numCache>
            </c:numRef>
          </c:val>
          <c:smooth val="0"/>
        </c:ser>
        <c:dLbls>
          <c:showLegendKey val="0"/>
          <c:showVal val="0"/>
          <c:showCatName val="0"/>
          <c:showSerName val="0"/>
          <c:showPercent val="0"/>
          <c:showBubbleSize val="0"/>
        </c:dLbls>
        <c:marker val="1"/>
        <c:smooth val="0"/>
        <c:axId val="177265664"/>
        <c:axId val="177271936"/>
      </c:lineChart>
      <c:catAx>
        <c:axId val="177265664"/>
        <c:scaling>
          <c:orientation val="minMax"/>
        </c:scaling>
        <c:delete val="0"/>
        <c:axPos val="b"/>
        <c:title>
          <c:tx>
            <c:rich>
              <a:bodyPr/>
              <a:lstStyle/>
              <a:p>
                <a:pPr>
                  <a:defRPr/>
                </a:pPr>
                <a:r>
                  <a:rPr lang="en-US"/>
                  <a:t>Fall Semester</a:t>
                </a:r>
              </a:p>
            </c:rich>
          </c:tx>
          <c:overlay val="0"/>
        </c:title>
        <c:numFmt formatCode="General" sourceLinked="1"/>
        <c:majorTickMark val="out"/>
        <c:minorTickMark val="none"/>
        <c:tickLblPos val="nextTo"/>
        <c:txPr>
          <a:bodyPr/>
          <a:lstStyle/>
          <a:p>
            <a:pPr>
              <a:defRPr sz="800"/>
            </a:pPr>
            <a:endParaRPr lang="en-US"/>
          </a:p>
        </c:txPr>
        <c:crossAx val="177271936"/>
        <c:crosses val="autoZero"/>
        <c:auto val="1"/>
        <c:lblAlgn val="l"/>
        <c:lblOffset val="100"/>
        <c:tickLblSkip val="2"/>
        <c:noMultiLvlLbl val="0"/>
      </c:catAx>
      <c:valAx>
        <c:axId val="177271936"/>
        <c:scaling>
          <c:orientation val="minMax"/>
        </c:scaling>
        <c:delete val="0"/>
        <c:axPos val="l"/>
        <c:majorGridlines/>
        <c:title>
          <c:tx>
            <c:rich>
              <a:bodyPr rot="-5400000" vert="horz"/>
              <a:lstStyle/>
              <a:p>
                <a:pPr>
                  <a:defRPr/>
                </a:pPr>
                <a:r>
                  <a:rPr lang="en-US"/>
                  <a:t>% of Total Headcount</a:t>
                </a:r>
              </a:p>
            </c:rich>
          </c:tx>
          <c:overlay val="0"/>
        </c:title>
        <c:numFmt formatCode="0%" sourceLinked="1"/>
        <c:majorTickMark val="out"/>
        <c:minorTickMark val="none"/>
        <c:tickLblPos val="nextTo"/>
        <c:crossAx val="177265664"/>
        <c:crosses val="autoZero"/>
        <c:crossBetween val="between"/>
      </c:valAx>
    </c:plotArea>
    <c:legend>
      <c:legendPos val="r"/>
      <c:overlay val="0"/>
    </c:legend>
    <c:plotVisOnly val="1"/>
    <c:dispBlanksAs val="gap"/>
    <c:showDLblsOverMax val="0"/>
  </c:chart>
  <c:spPr>
    <a:ln>
      <a:solidFill>
        <a:srgbClr val="2828D8"/>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200"/>
            </a:pPr>
            <a:r>
              <a:rPr lang="en-US" sz="1200"/>
              <a:t>Student Success in e-Learning Courses</a:t>
            </a:r>
          </a:p>
          <a:p>
            <a:pPr>
              <a:defRPr sz="1200"/>
            </a:pPr>
            <a:endParaRPr lang="en-US" sz="1200"/>
          </a:p>
        </c:rich>
      </c:tx>
      <c:overlay val="0"/>
    </c:title>
    <c:autoTitleDeleted val="0"/>
    <c:plotArea>
      <c:layout/>
      <c:lineChart>
        <c:grouping val="standard"/>
        <c:varyColors val="0"/>
        <c:ser>
          <c:idx val="0"/>
          <c:order val="0"/>
          <c:tx>
            <c:v>Success</c:v>
          </c:tx>
          <c:marker>
            <c:symbol val="none"/>
          </c:marker>
          <c:cat>
            <c:numRef>
              <c:f>(Sheet2!$B$40,Sheet2!$E$40,Sheet2!$H$40,Sheet2!$K$40,Sheet2!$N$40)</c:f>
              <c:numCache>
                <c:formatCode>General</c:formatCode>
                <c:ptCount val="5"/>
                <c:pt idx="0">
                  <c:v>2007</c:v>
                </c:pt>
                <c:pt idx="1">
                  <c:v>2008</c:v>
                </c:pt>
                <c:pt idx="2">
                  <c:v>2009</c:v>
                </c:pt>
                <c:pt idx="3">
                  <c:v>2010</c:v>
                </c:pt>
                <c:pt idx="4">
                  <c:v>2011</c:v>
                </c:pt>
              </c:numCache>
            </c:numRef>
          </c:cat>
          <c:val>
            <c:numRef>
              <c:f>(Sheet2!$B$42,Sheet2!$E$42,Sheet2!$H$42,Sheet2!$K$42,Sheet2!$N$42)</c:f>
              <c:numCache>
                <c:formatCode>0.0%</c:formatCode>
                <c:ptCount val="5"/>
                <c:pt idx="0">
                  <c:v>0.62223806129722026</c:v>
                </c:pt>
                <c:pt idx="1">
                  <c:v>0.64573459715639814</c:v>
                </c:pt>
                <c:pt idx="2">
                  <c:v>0.6570721834944907</c:v>
                </c:pt>
                <c:pt idx="3">
                  <c:v>0.65758122743682312</c:v>
                </c:pt>
                <c:pt idx="4">
                  <c:v>0.69718706047819967</c:v>
                </c:pt>
              </c:numCache>
            </c:numRef>
          </c:val>
          <c:smooth val="0"/>
        </c:ser>
        <c:ser>
          <c:idx val="1"/>
          <c:order val="1"/>
          <c:tx>
            <c:v>Failure</c:v>
          </c:tx>
          <c:spPr>
            <a:ln>
              <a:solidFill>
                <a:schemeClr val="tx1">
                  <a:lumMod val="95000"/>
                  <a:lumOff val="5000"/>
                </a:schemeClr>
              </a:solidFill>
            </a:ln>
          </c:spPr>
          <c:marker>
            <c:symbol val="none"/>
          </c:marker>
          <c:val>
            <c:numRef>
              <c:f>(Sheet2!$C$42,Sheet2!$F$42,Sheet2!$I$42,Sheet2!$L$42,Sheet2!$O$42)</c:f>
              <c:numCache>
                <c:formatCode>0.0%</c:formatCode>
                <c:ptCount val="5"/>
                <c:pt idx="0">
                  <c:v>0.15787598004276551</c:v>
                </c:pt>
                <c:pt idx="1">
                  <c:v>0.11611374407582939</c:v>
                </c:pt>
                <c:pt idx="2">
                  <c:v>0.10816280638632786</c:v>
                </c:pt>
                <c:pt idx="3">
                  <c:v>0.10288808664259928</c:v>
                </c:pt>
                <c:pt idx="4">
                  <c:v>8.4669479606188466E-2</c:v>
                </c:pt>
              </c:numCache>
            </c:numRef>
          </c:val>
          <c:smooth val="0"/>
        </c:ser>
        <c:ser>
          <c:idx val="2"/>
          <c:order val="2"/>
          <c:tx>
            <c:v>Stasis</c:v>
          </c:tx>
          <c:marker>
            <c:symbol val="none"/>
          </c:marker>
          <c:val>
            <c:numRef>
              <c:f>(Sheet2!$D$42,Sheet2!$G$42,Sheet2!$J$42,Sheet2!$M$42,Sheet2!$P$42)</c:f>
              <c:numCache>
                <c:formatCode>0.0%</c:formatCode>
                <c:ptCount val="5"/>
                <c:pt idx="0">
                  <c:v>0.21988595866001426</c:v>
                </c:pt>
                <c:pt idx="1">
                  <c:v>0.2381516587677725</c:v>
                </c:pt>
                <c:pt idx="2">
                  <c:v>0.23476501011918147</c:v>
                </c:pt>
                <c:pt idx="3">
                  <c:v>0.23953068592057761</c:v>
                </c:pt>
                <c:pt idx="4">
                  <c:v>0.21814345991561182</c:v>
                </c:pt>
              </c:numCache>
            </c:numRef>
          </c:val>
          <c:smooth val="0"/>
        </c:ser>
        <c:dLbls>
          <c:showLegendKey val="0"/>
          <c:showVal val="0"/>
          <c:showCatName val="0"/>
          <c:showSerName val="0"/>
          <c:showPercent val="0"/>
          <c:showBubbleSize val="0"/>
        </c:dLbls>
        <c:marker val="1"/>
        <c:smooth val="0"/>
        <c:axId val="174205952"/>
        <c:axId val="174212224"/>
      </c:lineChart>
      <c:catAx>
        <c:axId val="174205952"/>
        <c:scaling>
          <c:orientation val="minMax"/>
        </c:scaling>
        <c:delete val="0"/>
        <c:axPos val="b"/>
        <c:title>
          <c:tx>
            <c:rich>
              <a:bodyPr/>
              <a:lstStyle/>
              <a:p>
                <a:pPr>
                  <a:defRPr/>
                </a:pPr>
                <a:r>
                  <a:rPr lang="en-US"/>
                  <a:t>Fiscal Year</a:t>
                </a:r>
              </a:p>
            </c:rich>
          </c:tx>
          <c:overlay val="0"/>
        </c:title>
        <c:numFmt formatCode="General" sourceLinked="1"/>
        <c:majorTickMark val="none"/>
        <c:minorTickMark val="none"/>
        <c:tickLblPos val="nextTo"/>
        <c:crossAx val="174212224"/>
        <c:crosses val="autoZero"/>
        <c:auto val="1"/>
        <c:lblAlgn val="ctr"/>
        <c:lblOffset val="100"/>
        <c:noMultiLvlLbl val="0"/>
      </c:catAx>
      <c:valAx>
        <c:axId val="174212224"/>
        <c:scaling>
          <c:orientation val="minMax"/>
        </c:scaling>
        <c:delete val="0"/>
        <c:axPos val="l"/>
        <c:majorGridlines/>
        <c:title>
          <c:tx>
            <c:rich>
              <a:bodyPr/>
              <a:lstStyle/>
              <a:p>
                <a:pPr>
                  <a:defRPr/>
                </a:pPr>
                <a:r>
                  <a:rPr lang="en-US"/>
                  <a:t>Percent</a:t>
                </a:r>
              </a:p>
            </c:rich>
          </c:tx>
          <c:overlay val="0"/>
        </c:title>
        <c:numFmt formatCode="0%" sourceLinked="0"/>
        <c:majorTickMark val="none"/>
        <c:minorTickMark val="none"/>
        <c:tickLblPos val="nextTo"/>
        <c:crossAx val="174205952"/>
        <c:crosses val="autoZero"/>
        <c:crossBetween val="between"/>
      </c:valAx>
    </c:plotArea>
    <c:legend>
      <c:legendPos val="r"/>
      <c:overlay val="0"/>
    </c:legend>
    <c:plotVisOnly val="1"/>
    <c:dispBlanksAs val="gap"/>
    <c:showDLblsOverMax val="0"/>
  </c:chart>
  <c:spPr>
    <a:ln>
      <a:solidFill>
        <a:srgbClr val="2828D8"/>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200"/>
            </a:pPr>
            <a:r>
              <a:rPr lang="en-US" sz="1200"/>
              <a:t>Student Success in Distance,</a:t>
            </a:r>
            <a:r>
              <a:rPr lang="en-US" sz="1200" baseline="0"/>
              <a:t> not e-Learning </a:t>
            </a:r>
            <a:r>
              <a:rPr lang="en-US" sz="1200"/>
              <a:t>Courses</a:t>
            </a:r>
          </a:p>
          <a:p>
            <a:pPr>
              <a:defRPr sz="1200"/>
            </a:pPr>
            <a:endParaRPr lang="en-US" sz="1200"/>
          </a:p>
        </c:rich>
      </c:tx>
      <c:overlay val="0"/>
    </c:title>
    <c:autoTitleDeleted val="0"/>
    <c:plotArea>
      <c:layout/>
      <c:lineChart>
        <c:grouping val="standard"/>
        <c:varyColors val="0"/>
        <c:ser>
          <c:idx val="0"/>
          <c:order val="0"/>
          <c:tx>
            <c:v>Success</c:v>
          </c:tx>
          <c:marker>
            <c:symbol val="none"/>
          </c:marker>
          <c:cat>
            <c:numRef>
              <c:f>(Sheet2!$B$40,Sheet2!$E$40,Sheet2!$H$40,Sheet2!$K$40,Sheet2!$N$40)</c:f>
              <c:numCache>
                <c:formatCode>General</c:formatCode>
                <c:ptCount val="5"/>
                <c:pt idx="0">
                  <c:v>2007</c:v>
                </c:pt>
                <c:pt idx="1">
                  <c:v>2008</c:v>
                </c:pt>
                <c:pt idx="2">
                  <c:v>2009</c:v>
                </c:pt>
                <c:pt idx="3">
                  <c:v>2010</c:v>
                </c:pt>
                <c:pt idx="4">
                  <c:v>2011</c:v>
                </c:pt>
              </c:numCache>
            </c:numRef>
          </c:cat>
          <c:val>
            <c:numRef>
              <c:f>(Sheet2!$B$43,Sheet2!$E$43,Sheet2!$H$43,Sheet2!$K$43,Sheet2!$N$43)</c:f>
              <c:numCache>
                <c:formatCode>0.0%</c:formatCode>
                <c:ptCount val="5"/>
                <c:pt idx="0">
                  <c:v>0.58173956427739892</c:v>
                </c:pt>
                <c:pt idx="1">
                  <c:v>0.62600401606425704</c:v>
                </c:pt>
                <c:pt idx="2">
                  <c:v>0.64697327758589351</c:v>
                </c:pt>
                <c:pt idx="3">
                  <c:v>0.6586497165435492</c:v>
                </c:pt>
                <c:pt idx="4">
                  <c:v>0.66851211072664363</c:v>
                </c:pt>
              </c:numCache>
            </c:numRef>
          </c:val>
          <c:smooth val="0"/>
        </c:ser>
        <c:ser>
          <c:idx val="1"/>
          <c:order val="1"/>
          <c:tx>
            <c:v>Failure</c:v>
          </c:tx>
          <c:spPr>
            <a:ln>
              <a:solidFill>
                <a:schemeClr val="tx1">
                  <a:lumMod val="95000"/>
                  <a:lumOff val="5000"/>
                </a:schemeClr>
              </a:solidFill>
            </a:ln>
          </c:spPr>
          <c:marker>
            <c:symbol val="none"/>
          </c:marker>
          <c:val>
            <c:numRef>
              <c:f>(Sheet2!$C$43,Sheet2!$F$43,Sheet2!$I$43,Sheet2!$L$43,Sheet2!$O$43)</c:f>
              <c:numCache>
                <c:formatCode>0.0%</c:formatCode>
                <c:ptCount val="5"/>
                <c:pt idx="0">
                  <c:v>0.13337768168967237</c:v>
                </c:pt>
                <c:pt idx="1">
                  <c:v>0.10542168674698796</c:v>
                </c:pt>
                <c:pt idx="2">
                  <c:v>0.10343573895655335</c:v>
                </c:pt>
                <c:pt idx="3">
                  <c:v>9.2080398556948981E-2</c:v>
                </c:pt>
                <c:pt idx="4">
                  <c:v>4.792387543252595E-2</c:v>
                </c:pt>
              </c:numCache>
            </c:numRef>
          </c:val>
          <c:smooth val="0"/>
        </c:ser>
        <c:ser>
          <c:idx val="2"/>
          <c:order val="2"/>
          <c:tx>
            <c:v>Stasis</c:v>
          </c:tx>
          <c:marker>
            <c:symbol val="none"/>
          </c:marker>
          <c:val>
            <c:numRef>
              <c:f>(Sheet2!$D$43,Sheet2!$G$43,Sheet2!$J$43,Sheet2!$M$43,Sheet2!$P$43)</c:f>
              <c:numCache>
                <c:formatCode>0.0%</c:formatCode>
                <c:ptCount val="5"/>
                <c:pt idx="0">
                  <c:v>0.28488275403292868</c:v>
                </c:pt>
                <c:pt idx="1">
                  <c:v>0.26857429718875503</c:v>
                </c:pt>
                <c:pt idx="2">
                  <c:v>0.24959098345755318</c:v>
                </c:pt>
                <c:pt idx="3">
                  <c:v>0.2492698848995018</c:v>
                </c:pt>
                <c:pt idx="4">
                  <c:v>0.28356401384083046</c:v>
                </c:pt>
              </c:numCache>
            </c:numRef>
          </c:val>
          <c:smooth val="0"/>
        </c:ser>
        <c:dLbls>
          <c:showLegendKey val="0"/>
          <c:showVal val="0"/>
          <c:showCatName val="0"/>
          <c:showSerName val="0"/>
          <c:showPercent val="0"/>
          <c:showBubbleSize val="0"/>
        </c:dLbls>
        <c:marker val="1"/>
        <c:smooth val="0"/>
        <c:axId val="174226432"/>
        <c:axId val="177341568"/>
      </c:lineChart>
      <c:catAx>
        <c:axId val="174226432"/>
        <c:scaling>
          <c:orientation val="minMax"/>
        </c:scaling>
        <c:delete val="0"/>
        <c:axPos val="b"/>
        <c:title>
          <c:tx>
            <c:rich>
              <a:bodyPr/>
              <a:lstStyle/>
              <a:p>
                <a:pPr>
                  <a:defRPr/>
                </a:pPr>
                <a:r>
                  <a:rPr lang="en-US"/>
                  <a:t>Fiscal Year</a:t>
                </a:r>
              </a:p>
            </c:rich>
          </c:tx>
          <c:overlay val="0"/>
        </c:title>
        <c:numFmt formatCode="General" sourceLinked="1"/>
        <c:majorTickMark val="none"/>
        <c:minorTickMark val="none"/>
        <c:tickLblPos val="nextTo"/>
        <c:crossAx val="177341568"/>
        <c:crosses val="autoZero"/>
        <c:auto val="1"/>
        <c:lblAlgn val="ctr"/>
        <c:lblOffset val="100"/>
        <c:noMultiLvlLbl val="0"/>
      </c:catAx>
      <c:valAx>
        <c:axId val="177341568"/>
        <c:scaling>
          <c:orientation val="minMax"/>
        </c:scaling>
        <c:delete val="0"/>
        <c:axPos val="l"/>
        <c:majorGridlines/>
        <c:title>
          <c:tx>
            <c:rich>
              <a:bodyPr/>
              <a:lstStyle/>
              <a:p>
                <a:pPr>
                  <a:defRPr/>
                </a:pPr>
                <a:r>
                  <a:rPr lang="en-US"/>
                  <a:t>Percent</a:t>
                </a:r>
              </a:p>
            </c:rich>
          </c:tx>
          <c:overlay val="0"/>
        </c:title>
        <c:numFmt formatCode="0%" sourceLinked="0"/>
        <c:majorTickMark val="none"/>
        <c:minorTickMark val="none"/>
        <c:tickLblPos val="nextTo"/>
        <c:crossAx val="174226432"/>
        <c:crosses val="autoZero"/>
        <c:crossBetween val="between"/>
      </c:valAx>
    </c:plotArea>
    <c:legend>
      <c:legendPos val="r"/>
      <c:overlay val="0"/>
    </c:legend>
    <c:plotVisOnly val="1"/>
    <c:dispBlanksAs val="gap"/>
    <c:showDLblsOverMax val="0"/>
  </c:chart>
  <c:spPr>
    <a:ln>
      <a:solidFill>
        <a:srgbClr val="2828D8"/>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200"/>
            </a:pPr>
            <a:r>
              <a:rPr lang="en-US" sz="1200"/>
              <a:t>Student Success in Traditional Courses</a:t>
            </a:r>
          </a:p>
          <a:p>
            <a:pPr>
              <a:defRPr sz="1200"/>
            </a:pPr>
            <a:endParaRPr lang="en-US" sz="1200"/>
          </a:p>
        </c:rich>
      </c:tx>
      <c:overlay val="0"/>
    </c:title>
    <c:autoTitleDeleted val="0"/>
    <c:plotArea>
      <c:layout/>
      <c:lineChart>
        <c:grouping val="standard"/>
        <c:varyColors val="0"/>
        <c:ser>
          <c:idx val="0"/>
          <c:order val="0"/>
          <c:tx>
            <c:v>Success</c:v>
          </c:tx>
          <c:marker>
            <c:symbol val="none"/>
          </c:marker>
          <c:cat>
            <c:numRef>
              <c:f>(Sheet2!$B$40,Sheet2!$E$40,Sheet2!$H$40,Sheet2!$K$40,Sheet2!$N$40)</c:f>
              <c:numCache>
                <c:formatCode>General</c:formatCode>
                <c:ptCount val="5"/>
                <c:pt idx="0">
                  <c:v>2007</c:v>
                </c:pt>
                <c:pt idx="1">
                  <c:v>2008</c:v>
                </c:pt>
                <c:pt idx="2">
                  <c:v>2009</c:v>
                </c:pt>
                <c:pt idx="3">
                  <c:v>2010</c:v>
                </c:pt>
                <c:pt idx="4">
                  <c:v>2011</c:v>
                </c:pt>
              </c:numCache>
            </c:numRef>
          </c:cat>
          <c:val>
            <c:numRef>
              <c:f>(Sheet2!$B$44,Sheet2!$E$44,Sheet2!$H$44,Sheet2!$K$44,Sheet2!$N$44)</c:f>
              <c:numCache>
                <c:formatCode>0.0%</c:formatCode>
                <c:ptCount val="5"/>
                <c:pt idx="0">
                  <c:v>0.83860009480170639</c:v>
                </c:pt>
                <c:pt idx="1">
                  <c:v>0.83965252734554008</c:v>
                </c:pt>
                <c:pt idx="2">
                  <c:v>0.84623816641753857</c:v>
                </c:pt>
                <c:pt idx="3">
                  <c:v>0.84144908863541623</c:v>
                </c:pt>
                <c:pt idx="4">
                  <c:v>0.84172001946909281</c:v>
                </c:pt>
              </c:numCache>
            </c:numRef>
          </c:val>
          <c:smooth val="0"/>
        </c:ser>
        <c:ser>
          <c:idx val="1"/>
          <c:order val="1"/>
          <c:tx>
            <c:v>Failure</c:v>
          </c:tx>
          <c:spPr>
            <a:ln>
              <a:solidFill>
                <a:schemeClr val="tx1">
                  <a:lumMod val="95000"/>
                  <a:lumOff val="5000"/>
                </a:schemeClr>
              </a:solidFill>
            </a:ln>
          </c:spPr>
          <c:marker>
            <c:symbol val="none"/>
          </c:marker>
          <c:val>
            <c:numRef>
              <c:f>(Sheet2!$C$44,Sheet2!$F$44,Sheet2!$I$44,Sheet2!$L$44,Sheet2!$O$44)</c:f>
              <c:numCache>
                <c:formatCode>0.0%</c:formatCode>
                <c:ptCount val="5"/>
                <c:pt idx="0">
                  <c:v>5.966582398483173E-2</c:v>
                </c:pt>
                <c:pt idx="1">
                  <c:v>5.5468111812874817E-2</c:v>
                </c:pt>
                <c:pt idx="2">
                  <c:v>5.3751868460388638E-2</c:v>
                </c:pt>
                <c:pt idx="3">
                  <c:v>5.5079768085187011E-2</c:v>
                </c:pt>
                <c:pt idx="4">
                  <c:v>4.7437193455389569E-2</c:v>
                </c:pt>
              </c:numCache>
            </c:numRef>
          </c:val>
          <c:smooth val="0"/>
        </c:ser>
        <c:ser>
          <c:idx val="2"/>
          <c:order val="2"/>
          <c:tx>
            <c:v>Stasis</c:v>
          </c:tx>
          <c:marker>
            <c:symbol val="none"/>
          </c:marker>
          <c:val>
            <c:numRef>
              <c:f>(Sheet2!$D$44,Sheet2!$G$44,Sheet2!$J$44,Sheet2!$M$44,Sheet2!$P$44)</c:f>
              <c:numCache>
                <c:formatCode>0.0%</c:formatCode>
                <c:ptCount val="5"/>
                <c:pt idx="0">
                  <c:v>0.10173408121346184</c:v>
                </c:pt>
                <c:pt idx="1">
                  <c:v>0.10487936084158514</c:v>
                </c:pt>
                <c:pt idx="2">
                  <c:v>0.10000996512207275</c:v>
                </c:pt>
                <c:pt idx="3">
                  <c:v>0.10347114327939672</c:v>
                </c:pt>
                <c:pt idx="4">
                  <c:v>0.11084278707551762</c:v>
                </c:pt>
              </c:numCache>
            </c:numRef>
          </c:val>
          <c:smooth val="0"/>
        </c:ser>
        <c:dLbls>
          <c:showLegendKey val="0"/>
          <c:showVal val="0"/>
          <c:showCatName val="0"/>
          <c:showSerName val="0"/>
          <c:showPercent val="0"/>
          <c:showBubbleSize val="0"/>
        </c:dLbls>
        <c:marker val="1"/>
        <c:smooth val="0"/>
        <c:axId val="177372544"/>
        <c:axId val="177382912"/>
      </c:lineChart>
      <c:catAx>
        <c:axId val="177372544"/>
        <c:scaling>
          <c:orientation val="minMax"/>
        </c:scaling>
        <c:delete val="0"/>
        <c:axPos val="b"/>
        <c:title>
          <c:tx>
            <c:rich>
              <a:bodyPr/>
              <a:lstStyle/>
              <a:p>
                <a:pPr>
                  <a:defRPr/>
                </a:pPr>
                <a:r>
                  <a:rPr lang="en-US"/>
                  <a:t>Fiscal Year</a:t>
                </a:r>
              </a:p>
            </c:rich>
          </c:tx>
          <c:overlay val="0"/>
        </c:title>
        <c:numFmt formatCode="General" sourceLinked="1"/>
        <c:majorTickMark val="none"/>
        <c:minorTickMark val="none"/>
        <c:tickLblPos val="nextTo"/>
        <c:crossAx val="177382912"/>
        <c:crosses val="autoZero"/>
        <c:auto val="1"/>
        <c:lblAlgn val="ctr"/>
        <c:lblOffset val="100"/>
        <c:noMultiLvlLbl val="0"/>
      </c:catAx>
      <c:valAx>
        <c:axId val="177382912"/>
        <c:scaling>
          <c:orientation val="minMax"/>
        </c:scaling>
        <c:delete val="0"/>
        <c:axPos val="l"/>
        <c:majorGridlines/>
        <c:title>
          <c:tx>
            <c:rich>
              <a:bodyPr/>
              <a:lstStyle/>
              <a:p>
                <a:pPr>
                  <a:defRPr/>
                </a:pPr>
                <a:r>
                  <a:rPr lang="en-US"/>
                  <a:t>Percent</a:t>
                </a:r>
              </a:p>
            </c:rich>
          </c:tx>
          <c:overlay val="0"/>
        </c:title>
        <c:numFmt formatCode="0%" sourceLinked="0"/>
        <c:majorTickMark val="none"/>
        <c:minorTickMark val="none"/>
        <c:tickLblPos val="nextTo"/>
        <c:crossAx val="177372544"/>
        <c:crosses val="autoZero"/>
        <c:crossBetween val="between"/>
      </c:valAx>
    </c:plotArea>
    <c:legend>
      <c:legendPos val="r"/>
      <c:overlay val="0"/>
    </c:legend>
    <c:plotVisOnly val="1"/>
    <c:dispBlanksAs val="gap"/>
    <c:showDLblsOverMax val="0"/>
  </c:chart>
  <c:spPr>
    <a:ln>
      <a:solidFill>
        <a:srgbClr val="2828D8"/>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en-US"/>
        </a:p>
      </c:txPr>
    </c:title>
    <c:autoTitleDeleted val="0"/>
    <c:plotArea>
      <c:layout/>
      <c:lineChart>
        <c:grouping val="standard"/>
        <c:varyColors val="0"/>
        <c:ser>
          <c:idx val="0"/>
          <c:order val="0"/>
          <c:tx>
            <c:v>BEM Student Headcount</c:v>
          </c:tx>
          <c:marker>
            <c:symbol val="none"/>
          </c:marker>
          <c:cat>
            <c:numRef>
              <c:f>'PAIR Degree-Seeking Students by'!$J$1:$O$1</c:f>
              <c:numCache>
                <c:formatCode>General</c:formatCode>
                <c:ptCount val="6"/>
                <c:pt idx="0">
                  <c:v>2006</c:v>
                </c:pt>
                <c:pt idx="1">
                  <c:v>2007</c:v>
                </c:pt>
                <c:pt idx="2">
                  <c:v>2008</c:v>
                </c:pt>
                <c:pt idx="3">
                  <c:v>2009</c:v>
                </c:pt>
                <c:pt idx="4">
                  <c:v>2010</c:v>
                </c:pt>
                <c:pt idx="5">
                  <c:v>2011</c:v>
                </c:pt>
              </c:numCache>
            </c:numRef>
          </c:cat>
          <c:val>
            <c:numRef>
              <c:f>'PAIR Degree-Seeking Students by'!$J$68:$O$68</c:f>
              <c:numCache>
                <c:formatCode>General</c:formatCode>
                <c:ptCount val="6"/>
                <c:pt idx="0">
                  <c:v>0</c:v>
                </c:pt>
                <c:pt idx="1">
                  <c:v>0</c:v>
                </c:pt>
                <c:pt idx="2">
                  <c:v>5</c:v>
                </c:pt>
                <c:pt idx="3">
                  <c:v>16</c:v>
                </c:pt>
                <c:pt idx="4">
                  <c:v>28</c:v>
                </c:pt>
                <c:pt idx="5">
                  <c:v>54</c:v>
                </c:pt>
              </c:numCache>
            </c:numRef>
          </c:val>
          <c:smooth val="0"/>
        </c:ser>
        <c:dLbls>
          <c:showLegendKey val="0"/>
          <c:showVal val="0"/>
          <c:showCatName val="0"/>
          <c:showSerName val="0"/>
          <c:showPercent val="0"/>
          <c:showBubbleSize val="0"/>
        </c:dLbls>
        <c:marker val="1"/>
        <c:smooth val="0"/>
        <c:axId val="178157440"/>
        <c:axId val="178159616"/>
      </c:lineChart>
      <c:catAx>
        <c:axId val="178157440"/>
        <c:scaling>
          <c:orientation val="minMax"/>
        </c:scaling>
        <c:delete val="0"/>
        <c:axPos val="b"/>
        <c:title>
          <c:tx>
            <c:rich>
              <a:bodyPr/>
              <a:lstStyle/>
              <a:p>
                <a:pPr>
                  <a:defRPr/>
                </a:pPr>
                <a:r>
                  <a:rPr lang="en-US"/>
                  <a:t>Fall Semester</a:t>
                </a:r>
              </a:p>
            </c:rich>
          </c:tx>
          <c:overlay val="0"/>
        </c:title>
        <c:numFmt formatCode="General" sourceLinked="1"/>
        <c:majorTickMark val="none"/>
        <c:minorTickMark val="none"/>
        <c:tickLblPos val="nextTo"/>
        <c:crossAx val="178159616"/>
        <c:crosses val="autoZero"/>
        <c:auto val="1"/>
        <c:lblAlgn val="ctr"/>
        <c:lblOffset val="100"/>
        <c:noMultiLvlLbl val="0"/>
      </c:catAx>
      <c:valAx>
        <c:axId val="178159616"/>
        <c:scaling>
          <c:orientation val="minMax"/>
        </c:scaling>
        <c:delete val="0"/>
        <c:axPos val="l"/>
        <c:majorGridlines/>
        <c:title>
          <c:tx>
            <c:rich>
              <a:bodyPr/>
              <a:lstStyle/>
              <a:p>
                <a:pPr>
                  <a:defRPr/>
                </a:pPr>
                <a:r>
                  <a:rPr lang="en-US"/>
                  <a:t>Number of Students</a:t>
                </a:r>
              </a:p>
            </c:rich>
          </c:tx>
          <c:overlay val="0"/>
        </c:title>
        <c:numFmt formatCode="General" sourceLinked="1"/>
        <c:majorTickMark val="none"/>
        <c:minorTickMark val="none"/>
        <c:tickLblPos val="nextTo"/>
        <c:crossAx val="178157440"/>
        <c:crosses val="autoZero"/>
        <c:crossBetween val="between"/>
      </c:valAx>
      <c:spPr>
        <a:ln>
          <a:solidFill>
            <a:schemeClr val="tx1"/>
          </a:solidFill>
        </a:ln>
      </c:spPr>
    </c:plotArea>
    <c:plotVisOnly val="1"/>
    <c:dispBlanksAs val="gap"/>
    <c:showDLblsOverMax val="0"/>
  </c:chart>
  <c:spPr>
    <a:ln>
      <a:solidFill>
        <a:srgbClr val="2828D8"/>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400"/>
            </a:pPr>
            <a:r>
              <a:rPr lang="en-US" sz="1400"/>
              <a:t>Applied Business AAS Student Headcount</a:t>
            </a:r>
          </a:p>
        </c:rich>
      </c:tx>
      <c:overlay val="0"/>
    </c:title>
    <c:autoTitleDeleted val="0"/>
    <c:plotArea>
      <c:layout/>
      <c:lineChart>
        <c:grouping val="standard"/>
        <c:varyColors val="0"/>
        <c:ser>
          <c:idx val="0"/>
          <c:order val="0"/>
          <c:tx>
            <c:v>Headcount</c:v>
          </c:tx>
          <c:marker>
            <c:symbol val="none"/>
          </c:marker>
          <c:cat>
            <c:numRef>
              <c:f>'PAIR Degree-Seeking Students by'!$J$1:$O$1</c:f>
              <c:numCache>
                <c:formatCode>General</c:formatCode>
                <c:ptCount val="6"/>
                <c:pt idx="0">
                  <c:v>2006</c:v>
                </c:pt>
                <c:pt idx="1">
                  <c:v>2007</c:v>
                </c:pt>
                <c:pt idx="2">
                  <c:v>2008</c:v>
                </c:pt>
                <c:pt idx="3">
                  <c:v>2009</c:v>
                </c:pt>
                <c:pt idx="4">
                  <c:v>2010</c:v>
                </c:pt>
                <c:pt idx="5">
                  <c:v>2011</c:v>
                </c:pt>
              </c:numCache>
            </c:numRef>
          </c:cat>
          <c:val>
            <c:numRef>
              <c:f>'PAIR Degree-Seeking Students by'!$J$13:$O$13</c:f>
              <c:numCache>
                <c:formatCode>General</c:formatCode>
                <c:ptCount val="6"/>
                <c:pt idx="0">
                  <c:v>79</c:v>
                </c:pt>
                <c:pt idx="1">
                  <c:v>75</c:v>
                </c:pt>
                <c:pt idx="2">
                  <c:v>102</c:v>
                </c:pt>
                <c:pt idx="3">
                  <c:v>125</c:v>
                </c:pt>
                <c:pt idx="4">
                  <c:v>128</c:v>
                </c:pt>
                <c:pt idx="5">
                  <c:v>138</c:v>
                </c:pt>
              </c:numCache>
            </c:numRef>
          </c:val>
          <c:smooth val="0"/>
        </c:ser>
        <c:dLbls>
          <c:showLegendKey val="0"/>
          <c:showVal val="0"/>
          <c:showCatName val="0"/>
          <c:showSerName val="0"/>
          <c:showPercent val="0"/>
          <c:showBubbleSize val="0"/>
        </c:dLbls>
        <c:marker val="1"/>
        <c:smooth val="0"/>
        <c:axId val="174276608"/>
        <c:axId val="174278528"/>
      </c:lineChart>
      <c:catAx>
        <c:axId val="174276608"/>
        <c:scaling>
          <c:orientation val="minMax"/>
        </c:scaling>
        <c:delete val="0"/>
        <c:axPos val="b"/>
        <c:title>
          <c:tx>
            <c:rich>
              <a:bodyPr/>
              <a:lstStyle/>
              <a:p>
                <a:pPr>
                  <a:defRPr/>
                </a:pPr>
                <a:r>
                  <a:rPr lang="en-US"/>
                  <a:t>Fall Semester</a:t>
                </a:r>
              </a:p>
            </c:rich>
          </c:tx>
          <c:overlay val="0"/>
        </c:title>
        <c:numFmt formatCode="General" sourceLinked="1"/>
        <c:majorTickMark val="none"/>
        <c:minorTickMark val="none"/>
        <c:tickLblPos val="nextTo"/>
        <c:crossAx val="174278528"/>
        <c:crosses val="autoZero"/>
        <c:auto val="1"/>
        <c:lblAlgn val="ctr"/>
        <c:lblOffset val="100"/>
        <c:noMultiLvlLbl val="0"/>
      </c:catAx>
      <c:valAx>
        <c:axId val="174278528"/>
        <c:scaling>
          <c:orientation val="minMax"/>
        </c:scaling>
        <c:delete val="0"/>
        <c:axPos val="l"/>
        <c:majorGridlines/>
        <c:title>
          <c:tx>
            <c:rich>
              <a:bodyPr rot="-5400000" vert="horz"/>
              <a:lstStyle/>
              <a:p>
                <a:pPr>
                  <a:defRPr/>
                </a:pPr>
                <a:r>
                  <a:rPr lang="en-US"/>
                  <a:t>Number of Students</a:t>
                </a:r>
              </a:p>
            </c:rich>
          </c:tx>
          <c:overlay val="0"/>
        </c:title>
        <c:numFmt formatCode="General" sourceLinked="1"/>
        <c:majorTickMark val="none"/>
        <c:minorTickMark val="none"/>
        <c:tickLblPos val="nextTo"/>
        <c:spPr>
          <a:ln w="9525">
            <a:noFill/>
          </a:ln>
        </c:spPr>
        <c:crossAx val="174276608"/>
        <c:crosses val="autoZero"/>
        <c:crossBetween val="between"/>
        <c:majorUnit val="40"/>
      </c:valAx>
      <c:spPr>
        <a:ln>
          <a:solidFill>
            <a:schemeClr val="tx1"/>
          </a:solidFill>
        </a:ln>
      </c:spPr>
    </c:plotArea>
    <c:plotVisOnly val="1"/>
    <c:dispBlanksAs val="gap"/>
    <c:showDLblsOverMax val="0"/>
  </c:chart>
  <c:spPr>
    <a:ln>
      <a:solidFill>
        <a:srgbClr val="2828D8"/>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F7266-AE1B-4594-B1DA-7939D2A0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University of Alaska Southeast                                    2009 NWCCU Re-accreditation</vt:lpstr>
    </vt:vector>
  </TitlesOfParts>
  <Company>University of Alaska Southeast</Company>
  <LinksUpToDate>false</LinksUpToDate>
  <CharactersWithSpaces>12202</CharactersWithSpaces>
  <SharedDoc>false</SharedDoc>
  <HLinks>
    <vt:vector size="18" baseType="variant">
      <vt:variant>
        <vt:i4>4128876</vt:i4>
      </vt:variant>
      <vt:variant>
        <vt:i4>6</vt:i4>
      </vt:variant>
      <vt:variant>
        <vt:i4>0</vt:i4>
      </vt:variant>
      <vt:variant>
        <vt:i4>5</vt:i4>
      </vt:variant>
      <vt:variant>
        <vt:lpwstr>http://www.uas.alaska.edu/library/services/distance-ed.html</vt:lpwstr>
      </vt:variant>
      <vt:variant>
        <vt:lpwstr/>
      </vt:variant>
      <vt:variant>
        <vt:i4>1179725</vt:i4>
      </vt:variant>
      <vt:variant>
        <vt:i4>3</vt:i4>
      </vt:variant>
      <vt:variant>
        <vt:i4>0</vt:i4>
      </vt:variant>
      <vt:variant>
        <vt:i4>5</vt:i4>
      </vt:variant>
      <vt:variant>
        <vt:lpwstr>http://uas.alaska.edu/orientation/distance/index.html</vt:lpwstr>
      </vt:variant>
      <vt:variant>
        <vt:lpwstr/>
      </vt:variant>
      <vt:variant>
        <vt:i4>3473469</vt:i4>
      </vt:variant>
      <vt:variant>
        <vt:i4>0</vt:i4>
      </vt:variant>
      <vt:variant>
        <vt:i4>0</vt:i4>
      </vt:variant>
      <vt:variant>
        <vt:i4>5</vt:i4>
      </vt:variant>
      <vt:variant>
        <vt:lpwstr>http://uas.alaska.edu/distance/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Alaska Southeast                                    2009 NWCCU Re-accreditation</dc:title>
  <dc:creator>heather hadley</dc:creator>
  <cp:lastModifiedBy>Jeannie D Phillips</cp:lastModifiedBy>
  <cp:revision>2</cp:revision>
  <cp:lastPrinted>2011-12-05T18:34:00Z</cp:lastPrinted>
  <dcterms:created xsi:type="dcterms:W3CDTF">2011-12-12T22:36:00Z</dcterms:created>
  <dcterms:modified xsi:type="dcterms:W3CDTF">2011-12-12T22:36:00Z</dcterms:modified>
</cp:coreProperties>
</file>